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444444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LEI DE ACESSO À INFORMAÇÃO: </w:t>
      </w:r>
      <w:r w:rsidDel="00000000" w:rsidR="00000000" w:rsidRPr="00000000">
        <w:rPr>
          <w:rFonts w:ascii="Arial" w:cs="Arial" w:eastAsia="Arial" w:hAnsi="Arial"/>
          <w:color w:val="444444"/>
          <w:sz w:val="30"/>
          <w:szCs w:val="30"/>
          <w:highlight w:val="white"/>
          <w:rtl w:val="0"/>
        </w:rPr>
        <w:t xml:space="preserve">12.527/2011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color w:val="444444"/>
          <w:sz w:val="30"/>
          <w:szCs w:val="30"/>
          <w:highlight w:val="white"/>
          <w:rtl w:val="0"/>
        </w:rPr>
        <w:t xml:space="preserve">Artigo 5: “É dever do Estado garantir o direito de acesso à informação, que será franqueado, mediante procedimentos objetivos e ágeis, de forma transparente, clara e em linguagem de fácil compreensão.”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-Todo cidadão deve receber informações dos órgãos públicos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-O governo deve manter essas informações ao público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-Qualquer pessoa física ou jurídica pode ter acesso à informação sem precisar esclarecer o motivo.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1) Ações e Programas – Art. 8° da Lei de Acesso à Informação ( Lei 12.527/2011)</w:t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do relatório de acompanhamento de ações e programas conforme previsto no PPA.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2) Convênios – Art. 8° da Lei de Acesso à Informação ( Lei 12.527/2011)</w:t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mensal de todos os termos de convênios/cooperação vigentes.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3) Despesas Públicas – Art. 48-A, Inciso II, da Lei de Responsabilidade Fiscal (Lei 101/2000) e art. 7°, Inciso II, do Decreto 7.185/10</w:t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em tempo real da relação de empenhos, liquidações e pagamentos realizados.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4) Despesas com diárias e passagens</w:t>
      </w:r>
    </w:p>
    <w:p w:rsidR="00000000" w:rsidDel="00000000" w:rsidP="00000000" w:rsidRDefault="00000000" w:rsidRPr="00000000" w14:paraId="00000011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Não está explícito na Lei, mas é uma recomendação de boa prática do Ministério Público Federal.</w:t>
      </w:r>
    </w:p>
    <w:p w:rsidR="00000000" w:rsidDel="00000000" w:rsidP="00000000" w:rsidRDefault="00000000" w:rsidRPr="00000000" w14:paraId="00000012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recomendada a publicação mensal do demonstrativo das despesas com diárias e passagens pagas pela prefeitura.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5) Despesas com Pessoal / Folha de Pagamento. Art. 7°, §2°, VI, do Decreto 7.724/2012</w:t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recomendada a publicação mensal da folha pessoal individualizada.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6) Estrutura Organizacional – Art. 8° da Lei de Acesso à Informação ( Lei 12.527/2011)</w:t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da estrutura organizacional da prefeitura, com informações sobre secretarias, autarquias e fundações municipais.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7) LDO, LOA e PPA – Art. 8° da Lei de Acesso à Informação ( Lei 12.527/2011)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na íntegra das leis citadas, inclusive com seus anexos. Essas leis são: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Lei de Diretrizes Orçamentárias: aborda metas e prioridades financeiras do órgão, entre outras informações.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Lei Orçamentária Anual: aborda prioridades e metas financeiras anuais.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Plano Plurianual: traz diretrizes e planos a médio prazo, normalmente, alguns anos.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8) Licitações – Art. 8° da Lei de Acesso à Informação ( Lei 12.527/2011)</w:t>
      </w:r>
    </w:p>
    <w:p w:rsidR="00000000" w:rsidDel="00000000" w:rsidP="00000000" w:rsidRDefault="00000000" w:rsidRPr="00000000" w14:paraId="0000001F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de todas as licitações realizadas, incluindo os editais, resultados, contratos e aditivos na íntegra. Para processos de dispensa ou inexigibilidade, é preciso também do parecer jurídico.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9) Perguntas Frequentes – Art. 8° da Lei de Acesso à Informação ( Lei 12.527/2011)</w:t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da relação das perguntas mais frequentes da população e suas respectivas respostas.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10) Prestação de Contas – Art. 48, caput, da Lei de Responsabilidade Fiscal (Lei 101/2000)</w:t>
      </w:r>
    </w:p>
    <w:p w:rsidR="00000000" w:rsidDel="00000000" w:rsidP="00000000" w:rsidRDefault="00000000" w:rsidRPr="00000000" w14:paraId="00000023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do Relatório de Gestão ou Balanço Geral do ano anterior (o mesmo que é entregue ao Tribunal de Contas).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11) Receitas Públicas – Art. 48-A, Inciso II, da Lei de Responsabilidade Fiscal (Lei 101/2000) e art. 7°, Inciso II, do Decreto 7.185/10</w:t>
      </w:r>
    </w:p>
    <w:p w:rsidR="00000000" w:rsidDel="00000000" w:rsidP="00000000" w:rsidRDefault="00000000" w:rsidRPr="00000000" w14:paraId="00000025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das receitas públicas discriminadas por fonte.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12) Regulamentação da LAI – Art. 45° da Lei de Acesso à Informação (Lei 12.527/2011)</w:t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do Decreto ou Projeto de Lei que regulamenta a Lei de Acesso à informação na prefeitura.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13) Relatório de Acompanhamento de Projetos e Execução de Obras Públicas – Art. 8° da Lei de Acesso à Informação ( Lei 12.527/2011)</w:t>
      </w:r>
    </w:p>
    <w:p w:rsidR="00000000" w:rsidDel="00000000" w:rsidP="00000000" w:rsidRDefault="00000000" w:rsidRPr="00000000" w14:paraId="00000029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necessário publicar o Relatório de acompanhamento dos Projetos e Execução de Obras Públicas.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14 – RGF Relatório de Gestão Fiscal – Art. 48, caput, da Lei de Responsabilidade Fiscal (Lei 101/2000)</w:t>
      </w:r>
    </w:p>
    <w:p w:rsidR="00000000" w:rsidDel="00000000" w:rsidP="00000000" w:rsidRDefault="00000000" w:rsidRPr="00000000" w14:paraId="0000002B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do RGF referente ao quadrimestre / semestre anterior.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15) RREO Relatório Resumido de Execução Orçamentária –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Art. 48, caput, da Lei de Responsabilidade Fiscal (Lei 101/2000)</w:t>
      </w:r>
    </w:p>
    <w:p w:rsidR="00000000" w:rsidDel="00000000" w:rsidP="00000000" w:rsidRDefault="00000000" w:rsidRPr="00000000" w14:paraId="0000002E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obrigatória a publicação do RREO referente ao bimestre anterior.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16) SIC Serviço de Informação ao Cidadão – Art. 8° da Lei de Acesso à Informação ( Lei 12.527/2011)</w:t>
      </w:r>
    </w:p>
    <w:p w:rsidR="00000000" w:rsidDel="00000000" w:rsidP="00000000" w:rsidRDefault="00000000" w:rsidRPr="00000000" w14:paraId="00000031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obrigatório disponibilizar as informações de atendimento presencial e também o sistema para pedidos eletrônicos (e-SIC).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2323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232"/>
          <w:sz w:val="24"/>
          <w:szCs w:val="24"/>
          <w:rtl w:val="0"/>
        </w:rPr>
        <w:t xml:space="preserve">17) Site (requisitos mínimos) – Art. 8° da Lei de Acesso à Informação ( Lei 12.527/2011)</w:t>
      </w:r>
    </w:p>
    <w:p w:rsidR="00000000" w:rsidDel="00000000" w:rsidP="00000000" w:rsidRDefault="00000000" w:rsidRPr="00000000" w14:paraId="00000034">
      <w:pPr>
        <w:shd w:fill="ffffff" w:val="clear"/>
        <w:spacing w:after="150" w:line="240" w:lineRule="auto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É obrigatório que o site tenha sistema de pesquisa e ferramenta de acessibilidade de conteúdo para pessoas com deficiência visual.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89118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89118F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8911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hcpJ6wKTF7VtsUn46y5xYWfczg==">AMUW2mU/Y4DCKD803wx1Y62cNOe0oKxNMlhljsQSL9cNardtwLCMRiNcC/B9ir6soBLaJJ7xeNr+Pxp6Q37uArerMeBxA/juGEugHfQagwujPIqAsphBNRTpKf427JyKxFc6xaqs540O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2020-02-27T10:36:00Z</dcterms:created>
  <dc:creator>Cainã Santana</dc:creator>
</cp:coreProperties>
</file>