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pStyle w:val="Title"/>
      </w:pPr>
      <w:r>
        <w:t>RELATÓRIO TÉCNICO</w:t>
      </w:r>
    </w:p>
    <w:p>
      <w:pPr>
        <w:pStyle w:val="Subtitle"/>
      </w:pPr>
      <w:r>
        <w:t>Diagnóstico e correção dos erros do backend Rust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00000"/>
          <w:sz w:val="21"/>
        </w:rPr>
        <w:t xml:space="preserve">Repositório: </w:t>
      </w:r>
      <w:r>
        <w:rPr>
          <w:rFonts w:ascii="Calibri" w:hAnsi="Calibri" w:eastAsia="Calibri"/>
          <w:color w:val="000000"/>
          <w:sz w:val="21"/>
        </w:rPr>
        <w:t>D:\Projects\archti-backend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00000"/>
          <w:sz w:val="21"/>
        </w:rPr>
        <w:t xml:space="preserve">Branch analisada: </w:t>
      </w:r>
      <w:r>
        <w:rPr>
          <w:rFonts w:ascii="Calibri" w:hAnsi="Calibri" w:eastAsia="Calibri"/>
          <w:color w:val="000000"/>
          <w:sz w:val="21"/>
        </w:rPr>
        <w:t>main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00000"/>
          <w:sz w:val="21"/>
        </w:rPr>
        <w:t xml:space="preserve">Ambiente: </w:t>
      </w:r>
      <w:r>
        <w:rPr>
          <w:rFonts w:ascii="Calibri" w:hAnsi="Calibri" w:eastAsia="Calibri"/>
          <w:color w:val="000000"/>
          <w:sz w:val="21"/>
        </w:rPr>
        <w:t>Windows x86_64-pc-windows-msvc; Rust/Cargo 1.97.1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00000"/>
          <w:sz w:val="21"/>
        </w:rPr>
        <w:t xml:space="preserve">Escopo: </w:t>
      </w:r>
      <w:r>
        <w:rPr>
          <w:rFonts w:ascii="Calibri" w:hAnsi="Calibri" w:eastAsia="Calibri"/>
          <w:color w:val="000000"/>
          <w:sz w:val="21"/>
        </w:rPr>
        <w:t>workspace completo, todos os alvos, testes e lint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00000"/>
          <w:sz w:val="21"/>
        </w:rPr>
        <w:t xml:space="preserve">Data: </w:t>
      </w:r>
      <w:r>
        <w:rPr>
          <w:rFonts w:ascii="Calibri" w:hAnsi="Calibri" w:eastAsia="Calibri"/>
          <w:color w:val="000000"/>
          <w:sz w:val="21"/>
        </w:rPr>
        <w:t>25 de agosto de 2026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color w:val="000000"/>
          <w:sz w:val="21"/>
        </w:rPr>
        <w:t xml:space="preserve">Status: </w:t>
      </w:r>
      <w:r>
        <w:rPr>
          <w:rFonts w:ascii="Calibri" w:hAnsi="Calibri" w:eastAsia="Calibri"/>
          <w:color w:val="000000"/>
          <w:sz w:val="21"/>
        </w:rPr>
        <w:t>Compilação restaurada e validações concluídas</w:t>
      </w:r>
    </w:p>
    <w:p>
      <w:pPr>
        <w:keepLines/>
        <w:spacing w:before="120" w:after="200" w:line="264" w:lineRule="auto"/>
        <w:ind w:left="230" w:right="144"/>
        <w:shd w:fill="E8EEF5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Resultado: </w:t>
      </w:r>
      <w:r>
        <w:rPr>
          <w:rFonts w:ascii="Calibri" w:hAnsi="Calibri" w:eastAsia="Calibri"/>
          <w:color w:val="0B2545"/>
        </w:rPr>
        <w:t>o workspace voltou a compilar. A verificação final executou 10 testes com sucesso, incluindo três novos testes de JWT, e o Clippy estrito terminou sem avisos do projeto.</w:t>
      </w:r>
    </w:p>
    <w:p>
      <w:pPr>
        <w:pStyle w:val="Heading1"/>
      </w:pPr>
      <w:r>
        <w:t>Leitura rápida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O erro bloqueante era um modelo SeaORM com duas relações declaradas como se fossem colunas opcionais.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Os 158 diagnosticos da biblioteca eram majoritariamente uma cascata produzida por essa única modelagem incorreta.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A atualização para jsonwebtoken 11 também deixou uma falha latente: sem backend criptográfico, o primeiro JWT poderia causar panic em execução.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Foram corrigidas ainda inconsistências de estado, parâmetros e tipos em handlers HTTP que tenderiam a responder 500 ou executar a próxima etapa apos um token inválido.</w:t>
      </w:r>
    </w:p>
    <w:p>
      <w:r>
        <w:br w:type="page"/>
      </w:r>
    </w:p>
    <w:p>
      <w:pPr>
        <w:pStyle w:val="Heading1"/>
      </w:pPr>
      <w:r>
        <w:t>1. Estrutura que foi analisada</w:t>
      </w:r>
    </w:p>
    <w:p>
      <w:r>
        <w:t>O repositório e um workspace Cargo com o pacote principal archti-backend e o membro migration. A organização segue uma separação próxima de Clean Architecture: regras de negocio no domínio, orquestração na aplicação e detalhes técnicos na infraestrutura.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700"/>
        <w:gridCol w:w="3160"/>
        <w:gridCol w:w="4500"/>
      </w:tblGrid>
      <w:tr>
        <w:trPr>
          <w:tblHeader w:val="true"/>
        </w:trPr>
        <w:tc>
          <w:tcPr>
            <w:tcW w:type="dxa" w:w="170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Camada/alvo</w:t>
            </w:r>
          </w:p>
        </w:tc>
        <w:tc>
          <w:tcPr>
            <w:tcW w:type="dxa" w:w="316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Responsabilidade</w:t>
            </w:r>
          </w:p>
        </w:tc>
        <w:tc>
          <w:tcPr>
            <w:tcW w:type="dxa" w:w="450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Elementos principais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domain</w:t>
            </w:r>
          </w:p>
        </w:tc>
        <w:tc>
          <w:tcPr>
            <w:tcW w:type="dxa" w:w="31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Regras e contratos independentes de framework</w:t>
            </w:r>
          </w:p>
        </w:tc>
        <w:tc>
          <w:tcPr>
            <w:tcW w:type="dxa" w:w="4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Entidades, value objects e traits de repositório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application</w:t>
            </w:r>
          </w:p>
        </w:tc>
        <w:tc>
          <w:tcPr>
            <w:tcW w:type="dxa" w:w="31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Casos de uso e coordenacao</w:t>
            </w:r>
          </w:p>
        </w:tc>
        <w:tc>
          <w:tcPr>
            <w:tcW w:type="dxa" w:w="4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Identity, Company, notificações, queries e controle de acesso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infrastructure</w:t>
            </w:r>
          </w:p>
        </w:tc>
        <w:tc>
          <w:tcPr>
            <w:tcW w:type="dxa" w:w="31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Adaptadores externos</w:t>
            </w:r>
          </w:p>
        </w:tc>
        <w:tc>
          <w:tcPr>
            <w:tcW w:type="dxa" w:w="4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Salvo HTTP, SeaORM/PostgreSQL, JWT, cookies, SMTP e templates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migration</w:t>
            </w:r>
          </w:p>
        </w:tc>
        <w:tc>
          <w:tcPr>
            <w:tcW w:type="dxa" w:w="31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Evolução do schema</w:t>
            </w:r>
          </w:p>
        </w:tc>
        <w:tc>
          <w:tcPr>
            <w:tcW w:type="dxa" w:w="4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Biblioteca e binário SeaORM Migration</w:t>
            </w:r>
          </w:p>
        </w:tc>
      </w:tr>
      <w:tr>
        <w:tc>
          <w:tcPr>
            <w:tcW w:type="dxa" w:w="17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binários</w:t>
            </w:r>
          </w:p>
        </w:tc>
        <w:tc>
          <w:tcPr>
            <w:tcW w:type="dxa" w:w="31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Entradas executaveis</w:t>
            </w:r>
          </w:p>
        </w:tc>
        <w:tc>
          <w:tcPr>
            <w:tcW w:type="dxa" w:w="4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Servidor HTTP, archcli e migrator</w:t>
            </w:r>
          </w:p>
        </w:tc>
      </w:tr>
    </w:tbl>
    <w:p>
      <w:pPr>
        <w:pStyle w:val="SmallNote"/>
        <w:spacing w:before="80" w:after="80"/>
      </w:pPr>
    </w:p>
    <w:p>
      <w:pPr>
        <w:pStyle w:val="Heading2"/>
      </w:pPr>
      <w:r>
        <w:t>Fluxo principal</w:t>
      </w:r>
    </w:p>
    <w:p>
      <w:pPr>
        <w:keepLines/>
        <w:numPr>
          <w:ilvl w:val="0"/>
          <w:numId w:val="11"/>
        </w:numPr>
        <w:spacing w:after="160" w:line="280" w:lineRule="auto"/>
      </w:pPr>
      <w:r>
        <w:t>src/main.rs carrega o arquivo de ambiente e inicia o servidor HTTP.</w:t>
      </w:r>
    </w:p>
    <w:p>
      <w:pPr>
        <w:keepLines/>
        <w:numPr>
          <w:ilvl w:val="0"/>
          <w:numId w:val="11"/>
        </w:numPr>
        <w:spacing w:after="160" w:line="280" w:lineRule="auto"/>
      </w:pPr>
      <w:r>
        <w:t>O servidor constrói o container, injeta Arc&lt;HttpState&gt;, inicia o worker de notificações e monta as rotas /api/v1.</w:t>
      </w:r>
    </w:p>
    <w:p>
      <w:pPr>
        <w:keepLines/>
        <w:numPr>
          <w:ilvl w:val="0"/>
          <w:numId w:val="11"/>
        </w:numPr>
        <w:spacing w:after="160" w:line="280" w:lineRule="auto"/>
      </w:pPr>
      <w:r>
        <w:t>Handlers chamam fachadas/casos de uso; estes dependem de contratos do domínio e repositorios SeaORM.</w:t>
      </w:r>
    </w:p>
    <w:p>
      <w:pPr>
        <w:keepLines/>
        <w:numPr>
          <w:ilvl w:val="0"/>
          <w:numId w:val="11"/>
        </w:numPr>
        <w:spacing w:after="160" w:line="280" w:lineRule="auto"/>
      </w:pPr>
      <w:r>
        <w:t>Eventos de usuário seguem por um canal Tokio até o renderer Handlebars e o mailer SMTP.</w:t>
      </w:r>
    </w:p>
    <w:p>
      <w:pPr>
        <w:pStyle w:val="Heading2"/>
      </w:pPr>
      <w:r>
        <w:t>Estado inicial do repositório</w:t>
      </w:r>
    </w:p>
    <w:p>
      <w:r>
        <w:t>Antes das correções já existiam alteracoes locais em Cargo.toml, Cargo.lock, migration/Cargo.toml e no modo do script scripts/gen_seaorm_entities.sh. As atualizações de dependências, incluindo SeaORM 2.0.2 e jsonwebtoken 11.0.0, foram preservadas. As correções foram construídas sobre esse estado, sem resetar o trabalho existente.</w:t>
      </w:r>
    </w:p>
    <w:p>
      <w:pPr>
        <w:keepLines/>
        <w:spacing w:before="120" w:after="200" w:line="264" w:lineRule="auto"/>
        <w:ind w:left="230" w:right="144"/>
        <w:shd w:fill="E8EEF5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Observação de Git: </w:t>
      </w:r>
      <w:r>
        <w:rPr>
          <w:rFonts w:ascii="Calibri" w:hAnsi="Calibri" w:eastAsia="Calibri"/>
          <w:color w:val="0B2545"/>
        </w:rPr>
        <w:t>o checkout pertence a outro SID do Windows e o Git emitiu o alerta dubious ownership. A configuração global não foi alterada; as inspeções usaram uma exceção apenas por comando.</w:t>
      </w:r>
    </w:p>
    <w:p>
      <w:pPr>
        <w:pStyle w:val="Heading1"/>
      </w:pPr>
      <w:r>
        <w:t>2. Como o erro apareceu</w:t>
      </w:r>
    </w:p>
    <w:p>
      <w:pPr>
        <w:keepNext/>
        <w:keepLines/>
      </w:pPr>
      <w:r>
        <w:t>O comando cargo check --workspace --all-targets falhou na biblioteca com 158 erros; o alvo de testes repetiu o mesmo conjunto. Os códigos predominantes foram E0271, E0277, E0369 e E0599. A quantidade era enganosa: a macro do SeaORM expandiu um modelo inválido e propagou a incompatibilidade por ActiveModel, Value, TryGetable, Nullable e pelas implementações de Related.</w:t>
      </w:r>
    </w:p>
    <w:p>
      <w:pPr>
        <w:pStyle w:val="CodeBlock"/>
        <w:shd w:fill="F2F4F7" w:val="clear"/>
        <w:pBdr>
          <w:left w:val="single" w:sz="10" w:space="7" w:color="1F4D78"/>
        </w:pBdr>
      </w:pPr>
      <w:r>
        <w:rPr>
          <w:rFonts w:ascii="Consolas" w:hAnsi="Consolas" w:eastAsia="Consolas"/>
          <w:color w:val="0B2545"/>
          <w:sz w:val="19"/>
        </w:rPr>
        <w:t>cargo check --workspace --all-targets</w:t>
        <w:br/>
      </w:r>
      <w:r>
        <w:rPr>
          <w:rFonts w:ascii="Consolas" w:hAnsi="Consolas" w:eastAsia="Consolas"/>
          <w:color w:val="0B2545"/>
          <w:sz w:val="19"/>
        </w:rPr>
        <w:t># resultado inicial: falha; 158 erros no lib e os mesmos no lib test</w:t>
      </w:r>
    </w:p>
    <w:p>
      <w:pPr>
        <w:pStyle w:val="Heading1"/>
      </w:pPr>
      <w:r>
        <w:t>3. Causas raiz</w:t>
      </w:r>
    </w:p>
    <w:p>
      <w:pPr>
        <w:pStyle w:val="Heading2"/>
      </w:pPr>
      <w:r>
        <w:t>3.1 Relações SeaORM declaradas como colunas</w:t>
      </w:r>
    </w:p>
    <w:p>
      <w:r>
        <w:t>Em src/infrastructure/models/company_membership.rs, os campos company e user estavam escritos como Option&lt;Entity&gt;. No modelo compacto #[sea_orm::model], uma relação deve usar um wrapper relacional. Sem esse wrapper, a macro interpreta o campo como uma coluna persistível e tenta converter Entity para um valor SQL.</w:t>
      </w:r>
    </w:p>
    <w:p>
      <w:pPr>
        <w:pStyle w:val="CodeBlock"/>
        <w:shd w:fill="F2F4F7" w:val="clear"/>
        <w:pBdr>
          <w:left w:val="single" w:sz="10" w:space="7" w:color="1F4D78"/>
        </w:pBdr>
      </w:pPr>
      <w:r>
        <w:rPr>
          <w:rFonts w:ascii="Consolas" w:hAnsi="Consolas" w:eastAsia="Consolas"/>
          <w:color w:val="0B2545"/>
          <w:sz w:val="19"/>
        </w:rPr>
        <w:t>// Antes: Entity era interpretada como valor de coluna</w:t>
        <w:br/>
      </w:r>
      <w:r>
        <w:rPr>
          <w:rFonts w:ascii="Consolas" w:hAnsi="Consolas" w:eastAsia="Consolas"/>
          <w:color w:val="0B2545"/>
          <w:sz w:val="19"/>
        </w:rPr>
        <w:t>pub company: Option&lt;super::company::Entity&gt;,</w:t>
        <w:br/>
      </w:r>
      <w:r>
        <w:rPr>
          <w:rFonts w:ascii="Consolas" w:hAnsi="Consolas" w:eastAsia="Consolas"/>
          <w:color w:val="0B2545"/>
          <w:sz w:val="19"/>
        </w:rPr>
        <w:t>pub user: Option&lt;super::user::Entity&gt;,</w:t>
        <w:br/>
      </w:r>
      <w:r>
        <w:rPr>
          <w:rFonts w:ascii="Consolas" w:hAnsi="Consolas" w:eastAsia="Consolas"/>
          <w:color w:val="0B2545"/>
          <w:sz w:val="19"/>
        </w:rPr>
        <w:br/>
      </w:r>
      <w:r>
        <w:rPr>
          <w:rFonts w:ascii="Consolas" w:hAnsi="Consolas" w:eastAsia="Consolas"/>
          <w:color w:val="0B2545"/>
          <w:sz w:val="19"/>
        </w:rPr>
        <w:t>// Depois: relacoes reconhecidas pela macro</w:t>
        <w:br/>
      </w:r>
      <w:r>
        <w:rPr>
          <w:rFonts w:ascii="Consolas" w:hAnsi="Consolas" w:eastAsia="Consolas"/>
          <w:color w:val="0B2545"/>
          <w:sz w:val="19"/>
        </w:rPr>
        <w:t>pub company: HasOne&lt;super::company::Entity&gt;,</w:t>
        <w:br/>
      </w:r>
      <w:r>
        <w:rPr>
          <w:rFonts w:ascii="Consolas" w:hAnsi="Consolas" w:eastAsia="Consolas"/>
          <w:color w:val="0B2545"/>
          <w:sz w:val="19"/>
        </w:rPr>
        <w:t>pub user: HasOne&lt;super::user::Entity&gt;,</w:t>
      </w:r>
    </w:p>
    <w:p>
      <w:r>
        <w:t>Por isso surgiram mensagens aparentemente desconectadas sobre Nullable, ValueType, Into&lt;Value&gt;, TryGetable e operações de ActiveValue. Também faltavam as relações Related&lt;Company&gt; e Related&lt;User&gt;. Ao corrigir os dois tipos, a cascata desapareceu.</w:t>
      </w:r>
    </w:p>
    <w:p>
      <w:pPr>
        <w:pStyle w:val="Heading2"/>
      </w:pPr>
      <w:r>
        <w:t>3.2 Atributo de chave primária com erro de digitação</w:t>
      </w:r>
    </w:p>
    <w:p>
      <w:r>
        <w:t>Em src/infrastructure/models/user.rs, auto_inrement estava sem a letra c. O atributo foi corrigido para auto_increment = false. Esse defeito não era o principal bloqueio, mas podia fazer a macro ignorar a intenção de usar IDs Snowflake sem autoincremento.</w:t>
      </w:r>
    </w:p>
    <w:p>
      <w:pPr>
        <w:pStyle w:val="Heading2"/>
      </w:pPr>
      <w:r>
        <w:t>3.3 jsonwebtoken 11 sem backend criptográfico</w:t>
      </w:r>
    </w:p>
    <w:p>
      <w:r>
        <w:t>A versão 11 exige a seleção de aws_lc_rs ou rust_crypto, salvo quando a aplicação instala um CryptoProvider próprio. O manifesto ativava somente os recursos padrão e nenhum provider era instalado no bootstrap. O código compilava, mas encode/decode poderia entrar em panic no primeiro uso.</w:t>
      </w:r>
    </w:p>
    <w:p>
      <w:pPr>
        <w:pStyle w:val="CodeBlock"/>
        <w:shd w:fill="F2F4F7" w:val="clear"/>
        <w:pBdr>
          <w:left w:val="single" w:sz="10" w:space="7" w:color="1F4D78"/>
        </w:pBdr>
      </w:pPr>
      <w:r>
        <w:rPr>
          <w:rFonts w:ascii="Consolas" w:hAnsi="Consolas" w:eastAsia="Consolas"/>
          <w:color w:val="0B2545"/>
          <w:sz w:val="19"/>
        </w:rPr>
        <w:t>jsonwebtoken = {</w:t>
        <w:br/>
      </w:r>
      <w:r>
        <w:rPr>
          <w:rFonts w:ascii="Consolas" w:hAnsi="Consolas" w:eastAsia="Consolas"/>
          <w:color w:val="0B2545"/>
          <w:sz w:val="19"/>
        </w:rPr>
        <w:t xml:space="preserve">    version = "11.0.0",</w:t>
        <w:br/>
      </w:r>
      <w:r>
        <w:rPr>
          <w:rFonts w:ascii="Consolas" w:hAnsi="Consolas" w:eastAsia="Consolas"/>
          <w:color w:val="0B2545"/>
          <w:sz w:val="19"/>
        </w:rPr>
        <w:t xml:space="preserve">    default-features = false,</w:t>
        <w:br/>
      </w:r>
      <w:r>
        <w:rPr>
          <w:rFonts w:ascii="Consolas" w:hAnsi="Consolas" w:eastAsia="Consolas"/>
          <w:color w:val="0B2545"/>
          <w:sz w:val="19"/>
        </w:rPr>
        <w:t xml:space="preserve">    features = ["rust_crypto"]</w:t>
        <w:br/>
      </w:r>
      <w:r>
        <w:rPr>
          <w:rFonts w:ascii="Consolas" w:hAnsi="Consolas" w:eastAsia="Consolas"/>
          <w:color w:val="0B2545"/>
          <w:sz w:val="19"/>
        </w:rPr>
        <w:t>}</w:t>
      </w:r>
    </w:p>
    <w:p>
      <w:r>
        <w:t>rust_crypto foi escolhido porque o projeto usa HS256 com segredo compartilhado e não precisa do suporte PEM padrão. Três testes passaram a cobrir token de acesso, separação entre access/refresh e token de redefinição de senha.</w:t>
      </w:r>
    </w:p>
    <w:p>
      <w:pPr>
        <w:pStyle w:val="Heading2"/>
      </w:pPr>
      <w:r>
        <w:t>3.4 Features transitivas e versão mínima de Rust</w:t>
      </w:r>
    </w:p>
    <w:p>
      <w:r>
        <w:t>Tokio, SeaORM e tracing-subscriber estavam recebendo recursos necessários por unificação transitiva com migration e Salvo. Isso escondia dependências reais do pacote principal. As features rt-multi-thread, sync, runtime-tokio-rustls e env-filter agora sao declaradas diretamente. A dependência root para migration foi removida; o crate continua no workspace. O MSRV declarado pela migration era 1.85.0, mas SeaORM 2.0.2 e SQLx 0.9.0 requerem Rust 1.94.0. O root agora declara rust-version = 1.94.0 e a migration foi alinhada ao mesmo valor.</w:t>
      </w:r>
    </w:p>
    <w:p>
      <w:pPr>
        <w:pStyle w:val="Heading2"/>
      </w:pPr>
      <w:r>
        <w:t>3.5 Inconsistências nos handlers HTTP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Defeito</w:t>
            </w:r>
          </w:p>
        </w:tc>
        <w:tc>
          <w:tcPr>
            <w:tcW w:type="dxa" w:w="350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Por que falhava</w:t>
            </w:r>
          </w:p>
        </w:tc>
        <w:tc>
          <w:tcPr>
            <w:tcW w:type="dxa" w:w="406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Correção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Estado da aplicação</w:t>
            </w:r>
          </w:p>
        </w:tc>
        <w:tc>
          <w:tcPr>
            <w:tcW w:type="dxa" w:w="3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O servidor injeta Arc&lt;HttpState&gt;, mas dois handlers pediam HttpState.</w:t>
            </w:r>
          </w:p>
        </w:tc>
        <w:tc>
          <w:tcPr>
            <w:tcW w:type="dxa" w:w="40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Obter Arc&lt;HttpState&gt;, como os demais handlers.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ID da empresa</w:t>
            </w:r>
          </w:p>
        </w:tc>
        <w:tc>
          <w:tcPr>
            <w:tcW w:type="dxa" w:w="3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{id} e parâmetro de rota; não havia valor id no Depot.</w:t>
            </w:r>
          </w:p>
        </w:tc>
        <w:tc>
          <w:tcPr>
            <w:tcW w:type="dxa" w:w="40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Ler req.param::&lt;i64&gt;("id") e rejeitar valor inválido.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ID do usuário</w:t>
            </w:r>
          </w:p>
        </w:tc>
        <w:tc>
          <w:tcPr>
            <w:tcW w:type="dxa" w:w="3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O middleware grava i64, mas logout/forgot/reset consultavam String.</w:t>
            </w:r>
          </w:p>
        </w:tc>
        <w:tc>
          <w:tcPr>
            <w:tcW w:type="dxa" w:w="40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Consultar i64 em todos os pontos.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Token inválido</w:t>
            </w:r>
          </w:p>
        </w:tc>
        <w:tc>
          <w:tcPr>
            <w:tcW w:type="dxa" w:w="350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AppMiddleware definia 401 e ainda chamava o próximo handler.</w:t>
            </w:r>
          </w:p>
        </w:tc>
        <w:tc>
          <w:tcPr>
            <w:tcW w:type="dxa" w:w="40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Renderizar o erro e encerrar o fluxo antes de efeitos colaterais.</w:t>
            </w:r>
          </w:p>
        </w:tc>
      </w:tr>
    </w:tbl>
    <w:p>
      <w:pPr>
        <w:pStyle w:val="SmallNote"/>
        <w:spacing w:before="80" w:after="80"/>
      </w:pPr>
    </w:p>
    <w:p>
      <w:pPr>
        <w:pStyle w:val="Heading1"/>
      </w:pPr>
      <w:r>
        <w:t>4. Correções implementadas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550"/>
        <w:gridCol w:w="5050"/>
        <w:gridCol w:w="2760"/>
      </w:tblGrid>
      <w:tr>
        <w:trPr>
          <w:tblHeader w:val="true"/>
        </w:trPr>
        <w:tc>
          <w:tcPr>
            <w:tcW w:type="dxa" w:w="155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505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Alteracao</w:t>
            </w:r>
          </w:p>
        </w:tc>
        <w:tc>
          <w:tcPr>
            <w:tcW w:type="dxa" w:w="276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Resultado</w:t>
            </w:r>
          </w:p>
        </w:tc>
      </w:tr>
      <w:tr>
        <w:tc>
          <w:tcPr>
            <w:tcW w:type="dxa" w:w="15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SeaORM</w:t>
            </w:r>
          </w:p>
        </w:tc>
        <w:tc>
          <w:tcPr>
            <w:tcW w:type="dxa" w:w="50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HasOne&lt;Entity&gt; nas relações de company_membership</w:t>
            </w:r>
          </w:p>
        </w:tc>
        <w:tc>
          <w:tcPr>
            <w:tcW w:type="dxa" w:w="27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Eliminou a cascata de 158 erros</w:t>
            </w:r>
          </w:p>
        </w:tc>
      </w:tr>
      <w:tr>
        <w:tc>
          <w:tcPr>
            <w:tcW w:type="dxa" w:w="15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Modelo User</w:t>
            </w:r>
          </w:p>
        </w:tc>
        <w:tc>
          <w:tcPr>
            <w:tcW w:type="dxa" w:w="50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auto_increment escrito corretamente</w:t>
            </w:r>
          </w:p>
        </w:tc>
        <w:tc>
          <w:tcPr>
            <w:tcW w:type="dxa" w:w="27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Semântica da PK explicitada</w:t>
            </w:r>
          </w:p>
        </w:tc>
      </w:tr>
      <w:tr>
        <w:tc>
          <w:tcPr>
            <w:tcW w:type="dxa" w:w="15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JWT</w:t>
            </w:r>
          </w:p>
        </w:tc>
        <w:tc>
          <w:tcPr>
            <w:tcW w:type="dxa" w:w="50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Backend rust_crypto e 3 testes de round-trip/tipo</w:t>
            </w:r>
          </w:p>
        </w:tc>
        <w:tc>
          <w:tcPr>
            <w:tcW w:type="dxa" w:w="27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Encode/decode validado sem panic</w:t>
            </w:r>
          </w:p>
        </w:tc>
      </w:tr>
      <w:tr>
        <w:tc>
          <w:tcPr>
            <w:tcW w:type="dxa" w:w="15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Cargo</w:t>
            </w:r>
          </w:p>
        </w:tc>
        <w:tc>
          <w:tcPr>
            <w:tcW w:type="dxa" w:w="50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Features diretas, MSRV 1.94 e default-run</w:t>
            </w:r>
          </w:p>
        </w:tc>
        <w:tc>
          <w:tcPr>
            <w:tcW w:type="dxa" w:w="27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Build reproduzível e cargo run sem ambiguidade</w:t>
            </w:r>
          </w:p>
        </w:tc>
      </w:tr>
      <w:tr>
        <w:tc>
          <w:tcPr>
            <w:tcW w:type="dxa" w:w="15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HTTP</w:t>
            </w:r>
          </w:p>
        </w:tc>
        <w:tc>
          <w:tcPr>
            <w:tcW w:type="dxa" w:w="50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Estado, parâmetros, IDs e interrupção em token inválido</w:t>
            </w:r>
          </w:p>
        </w:tc>
        <w:tc>
          <w:tcPr>
            <w:tcW w:type="dxa" w:w="27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Evita falhas 500 e fluxo indevido</w:t>
            </w:r>
          </w:p>
        </w:tc>
      </w:tr>
      <w:tr>
        <w:tc>
          <w:tcPr>
            <w:tcW w:type="dxa" w:w="15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Clippy</w:t>
            </w:r>
          </w:p>
        </w:tc>
        <w:tc>
          <w:tcPr>
            <w:tcW w:type="dxa" w:w="50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Empréstimos/clones redundantes removidos; exceções locais para construtores extensos</w:t>
            </w:r>
          </w:p>
        </w:tc>
        <w:tc>
          <w:tcPr>
            <w:tcW w:type="dxa" w:w="27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Lint estrito passa</w:t>
            </w:r>
          </w:p>
        </w:tc>
      </w:tr>
      <w:tr>
        <w:tc>
          <w:tcPr>
            <w:tcW w:type="dxa" w:w="15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Formatação</w:t>
            </w:r>
          </w:p>
        </w:tc>
        <w:tc>
          <w:tcPr>
            <w:tcW w:type="dxa" w:w="505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cargo fmt aplicado ao workspace</w:t>
            </w:r>
          </w:p>
        </w:tc>
        <w:tc>
          <w:tcPr>
            <w:tcW w:type="dxa" w:w="276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Formato Rust consistente</w:t>
            </w:r>
          </w:p>
        </w:tc>
      </w:tr>
    </w:tbl>
    <w:p>
      <w:pPr>
        <w:pStyle w:val="SmallNote"/>
        <w:spacing w:before="80" w:after="80"/>
      </w:pPr>
    </w:p>
    <w:p>
      <w:pPr>
        <w:pStyle w:val="Heading2"/>
      </w:pPr>
      <w:r>
        <w:t>Arquivos centrais alterados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Cargo.toml e migration/Cargo.toml - MSRV, features, JWT e organização do workspace.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src/infrastructure/models/company_membership.rs e user.rs - modelos SeaORM.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src/infrastructure/services/jwt_auth_service.rs e password_reset_token_service.rs - testes de JWT.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src/infrastructure/http/handlers/... e middlewares/app_middleware.rs - consistencia do fluxo HTTP.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src/application/company/mod.rs e sea_orm_membership_repository.rs - limpeza apontada pelo Clippy.</w:t>
      </w:r>
    </w:p>
    <w:p>
      <w:pPr>
        <w:pStyle w:val="Heading1"/>
      </w:pPr>
      <w:r>
        <w:t>5. Evidências de validação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3680"/>
        <w:gridCol w:w="1600"/>
        <w:gridCol w:w="4080"/>
      </w:tblGrid>
      <w:tr>
        <w:trPr>
          <w:tblHeader w:val="true"/>
        </w:trPr>
        <w:tc>
          <w:tcPr>
            <w:tcW w:type="dxa" w:w="368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Verificação</w:t>
            </w:r>
          </w:p>
        </w:tc>
        <w:tc>
          <w:tcPr>
            <w:tcW w:type="dxa" w:w="160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Resultado</w:t>
            </w:r>
          </w:p>
        </w:tc>
        <w:tc>
          <w:tcPr>
            <w:tcW w:type="dxa" w:w="4080"/>
            <w:vAlign w:val="center"/>
            <w:shd w:fill="F2F4F7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B2545"/>
                <w:sz w:val="19"/>
              </w:rPr>
              <w:t>Observação</w:t>
            </w:r>
          </w:p>
        </w:tc>
      </w:tr>
      <w:tr>
        <w:tc>
          <w:tcPr>
            <w:tcW w:type="dxa" w:w="36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cargo check --workspace --all-targets</w:t>
            </w:r>
          </w:p>
        </w:tc>
        <w:tc>
          <w:tcPr>
            <w:tcW w:type="dxa" w:w="1600"/>
            <w:shd w:fill="E8EEF5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APROVADO</w:t>
            </w:r>
          </w:p>
        </w:tc>
        <w:tc>
          <w:tcPr>
            <w:tcW w:type="dxa" w:w="40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Biblioteca, binários e migration compilam</w:t>
            </w:r>
          </w:p>
        </w:tc>
      </w:tr>
      <w:tr>
        <w:tc>
          <w:tcPr>
            <w:tcW w:type="dxa" w:w="36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cargo test --workspace --all-targets --locked</w:t>
            </w:r>
          </w:p>
        </w:tc>
        <w:tc>
          <w:tcPr>
            <w:tcW w:type="dxa" w:w="1600"/>
            <w:shd w:fill="E8EEF5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APROVADO</w:t>
            </w:r>
          </w:p>
        </w:tc>
        <w:tc>
          <w:tcPr>
            <w:tcW w:type="dxa" w:w="40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10 aprovados; 0 falhas; 0 ignorados</w:t>
            </w:r>
          </w:p>
        </w:tc>
      </w:tr>
      <w:tr>
        <w:tc>
          <w:tcPr>
            <w:tcW w:type="dxa" w:w="36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cargo fmt --all -- --check</w:t>
            </w:r>
          </w:p>
        </w:tc>
        <w:tc>
          <w:tcPr>
            <w:tcW w:type="dxa" w:w="1600"/>
            <w:shd w:fill="E8EEF5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APROVADO</w:t>
            </w:r>
          </w:p>
        </w:tc>
        <w:tc>
          <w:tcPr>
            <w:tcW w:type="dxa" w:w="40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Nenhuma divergencia de formatação</w:t>
            </w:r>
          </w:p>
        </w:tc>
      </w:tr>
      <w:tr>
        <w:tc>
          <w:tcPr>
            <w:tcW w:type="dxa" w:w="36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cargo clippy --workspace --all-targets --all-features --locked -- -D warnings</w:t>
            </w:r>
          </w:p>
        </w:tc>
        <w:tc>
          <w:tcPr>
            <w:tcW w:type="dxa" w:w="1600"/>
            <w:shd w:fill="E8EEF5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APROVADO</w:t>
            </w:r>
          </w:p>
        </w:tc>
        <w:tc>
          <w:tcPr>
            <w:tcW w:type="dxa" w:w="40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Nenhum aviso do código do projeto</w:t>
            </w:r>
          </w:p>
        </w:tc>
      </w:tr>
      <w:tr>
        <w:tc>
          <w:tcPr>
            <w:tcW w:type="dxa" w:w="36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cargo metadata --locked</w:t>
            </w:r>
          </w:p>
        </w:tc>
        <w:tc>
          <w:tcPr>
            <w:tcW w:type="dxa" w:w="1600"/>
            <w:shd w:fill="E8EEF5" w:val="clea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APROVADO</w:t>
            </w:r>
          </w:p>
        </w:tc>
        <w:tc>
          <w:tcPr>
            <w:tcW w:type="dxa" w:w="4080"/>
          </w:tcPr>
          <w:p>
            <w:pPr>
              <w:spacing w:before="0" w:after="40" w:line="240" w:lineRule="auto"/>
            </w:pPr>
            <w:r>
              <w:rPr>
                <w:rFonts w:ascii="Calibri" w:hAnsi="Calibri" w:eastAsia="Calibri"/>
                <w:color w:val="000000"/>
                <w:sz w:val="18"/>
              </w:rPr>
              <w:t>Lockfile e grafo resolvidos</w:t>
            </w:r>
          </w:p>
        </w:tc>
      </w:tr>
    </w:tbl>
    <w:p>
      <w:pPr>
        <w:pStyle w:val="SmallNote"/>
        <w:spacing w:before="80" w:after="80"/>
      </w:pPr>
    </w:p>
    <w:p>
      <w:pPr>
        <w:keepLines/>
        <w:spacing w:before="120" w:after="200" w:line="264" w:lineRule="auto"/>
        <w:ind w:left="230" w:right="144"/>
        <w:shd w:fill="E8EEF5" w:val="clear"/>
        <w:pBdr>
          <w:left w:val="single" w:sz="18" w:space="8" w:color="2E74B5"/>
        </w:pBdr>
      </w:pPr>
      <w:r>
        <w:rPr>
          <w:rFonts w:ascii="Calibri" w:hAnsi="Calibri" w:eastAsia="Calibri"/>
          <w:b/>
          <w:color w:val="0B2545"/>
        </w:rPr>
        <w:t xml:space="preserve">Cobertura acrescentada: </w:t>
      </w:r>
      <w:r>
        <w:rPr>
          <w:rFonts w:ascii="Calibri" w:hAnsi="Calibri" w:eastAsia="Calibri"/>
          <w:color w:val="0B2545"/>
        </w:rPr>
        <w:t>os sete testes existentes continuam passando e três testes novos comprovam que o provider de JWT está ativo e que tokens de acesso, refresh e redefinição obedecem aos tipos esperados.</w:t>
      </w:r>
    </w:p>
    <w:p>
      <w:pPr>
        <w:pStyle w:val="Heading2"/>
      </w:pPr>
      <w:r>
        <w:t>Aviso remanescente do compilador</w:t>
      </w:r>
    </w:p>
    <w:p>
      <w:r>
        <w:t>O Cargo ainda informa future incompatibility em proc-macro-error2 2.0.1, uma dependência de terceiros. O aviso E0365 indica uma reexportação privada de proc_macro que será rejeitada por uma versão futura do Rust. Ele não impede o build atual e não foi mascarado; deve ser resolvido por atualização da cadeia que traz o crate ou, se necessário, por patch temporário cuidadosamente avaliado.</w:t>
      </w:r>
    </w:p>
    <w:p>
      <w:pPr>
        <w:pStyle w:val="Heading1"/>
      </w:pPr>
      <w:r>
        <w:t>6. Riscos que permanecem fora desta correção</w:t>
      </w:r>
    </w:p>
    <w:p>
      <w:r>
        <w:t>A compilação e os defeitos objetivos descritos acima foram corrigidos. A leitura estrutural revelou pontos adicionais que exigem decisões de produto, banco ou segurança e, por isso, não foram alterados automaticamente.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Alta - As rotas /company/{id}/specialties e /certifications autenticam o usuário, mas ainda não chamam o AccessControlService para validar permissão na empresa.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Alta - O cadastro de empresa cria empresa, membership, role e permissoes em varias operações sem uma transação única; uma falha intermediária pode deixar dados parciais.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Media - Os handlers GET de specialties e certifications ainda estão vazios e podem produzir respostas sem conteúdo útil.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Media - Não há testes end-to-end com PostgreSQL, SMTP ou o servidor Salvo; a validação realizada foi de compilação, lint e testes unitários existentes/novos.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Media - O modelo manual de company_membership trata created_at/updated_at como opcionais, enquanto a migration os define como NOT NULL com default. Convém alinhar o contrato em uma mudança dedicada.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Baixa - O script shell de geração de entidades já estava sem bit executável no checkout; revisar antes de usar em Linux/CI.</w:t>
      </w:r>
    </w:p>
    <w:p>
      <w:pPr>
        <w:keepLines/>
        <w:numPr>
          <w:ilvl w:val="0"/>
          <w:numId w:val="10"/>
        </w:numPr>
        <w:spacing w:after="160" w:line="280" w:lineRule="auto"/>
      </w:pPr>
      <w:r>
        <w:t>Baixa - .env.example permite remetente SMTP vazio e o bootstrap assume debug quando RUST_LOG não existe; revisar antes de produção.</w:t>
      </w:r>
    </w:p>
    <w:p>
      <w:pPr>
        <w:pStyle w:val="Heading1"/>
      </w:pPr>
      <w:r>
        <w:t>7. Próximos passos recomendados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t>Adicionar autorização por empresa aos endpoints company/{id}, com testes para usuário sem membership e sem permissão.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t>Executar o bootstrap de empresa dentro de uma transação SeaORM e testar rollback em cada etapa.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t>Criar testes HTTP para login, logout, token inválido, parâmetros de rota e handlers de specialty/certification.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t>Subir PostgreSQL de teste e executar migration fresh/up/down em CI.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t>Rastrear a atualização que remove proc-macro-error2 2.0.1 do grafo antes de um futuro upgrade do Rust.</w:t>
      </w:r>
    </w:p>
    <w:p>
      <w:pPr>
        <w:keepLines/>
        <w:numPr>
          <w:ilvl w:val="0"/>
          <w:numId w:val="12"/>
        </w:numPr>
        <w:spacing w:after="160" w:line="280" w:lineRule="auto"/>
      </w:pPr>
      <w:r>
        <w:t>Adicionar CI com fmt, check, clippy e test usando --locked.</w:t>
      </w:r>
    </w:p>
    <w:p>
      <w:pPr>
        <w:pStyle w:val="Heading1"/>
      </w:pPr>
      <w:r>
        <w:t>8. Como repetir a verificação</w:t>
      </w:r>
    </w:p>
    <w:p>
      <w:pPr>
        <w:pStyle w:val="CodeBlock"/>
        <w:shd w:fill="F2F4F7" w:val="clear"/>
        <w:keepNext/>
        <w:pBdr>
          <w:left w:val="single" w:sz="10" w:space="7" w:color="1F4D78"/>
        </w:pBdr>
      </w:pPr>
      <w:r>
        <w:rPr>
          <w:rFonts w:ascii="Consolas" w:hAnsi="Consolas" w:eastAsia="Consolas"/>
          <w:color w:val="0B2545"/>
          <w:sz w:val="19"/>
        </w:rPr>
        <w:t>rustc --version --verbose</w:t>
        <w:br/>
      </w:r>
      <w:r>
        <w:rPr>
          <w:rFonts w:ascii="Consolas" w:hAnsi="Consolas" w:eastAsia="Consolas"/>
          <w:color w:val="0B2545"/>
          <w:sz w:val="19"/>
        </w:rPr>
        <w:t>cargo check --workspace --all-targets --locked</w:t>
        <w:br/>
      </w:r>
      <w:r>
        <w:rPr>
          <w:rFonts w:ascii="Consolas" w:hAnsi="Consolas" w:eastAsia="Consolas"/>
          <w:color w:val="0B2545"/>
          <w:sz w:val="19"/>
        </w:rPr>
        <w:t>cargo test --workspace --all-targets --locked</w:t>
        <w:br/>
      </w:r>
      <w:r>
        <w:rPr>
          <w:rFonts w:ascii="Consolas" w:hAnsi="Consolas" w:eastAsia="Consolas"/>
          <w:color w:val="0B2545"/>
          <w:sz w:val="19"/>
        </w:rPr>
        <w:t>cargo fmt --all -- --check</w:t>
        <w:br/>
      </w:r>
      <w:r>
        <w:rPr>
          <w:rFonts w:ascii="Consolas" w:hAnsi="Consolas" w:eastAsia="Consolas"/>
          <w:color w:val="0B2545"/>
          <w:sz w:val="19"/>
        </w:rPr>
        <w:t>cargo clippy --workspace --all-targets --all-features --locked -- -D warnings</w:t>
        <w:br/>
      </w:r>
      <w:r>
        <w:rPr>
          <w:rFonts w:ascii="Consolas" w:hAnsi="Consolas" w:eastAsia="Consolas"/>
          <w:color w:val="0B2545"/>
          <w:sz w:val="19"/>
        </w:rPr>
        <w:t>cargo report future-incompatibilities --id 1</w:t>
      </w:r>
    </w:p>
    <w:p>
      <w:r>
        <w:t>Para executar a aplicação e validar integrações externas, configure as variáveis descritas em .env.example e use cargo run --bin archti-backend. Não inclua segredos reais em logs ou relatórios.</w:t>
      </w:r>
    </w:p>
    <w:p>
      <w:pPr>
        <w:pStyle w:val="Heading1"/>
      </w:pPr>
      <w:r>
        <w:t>Conclusão</w:t>
      </w:r>
    </w:p>
    <w:p>
      <w:r>
        <w:t>O bloqueio de compilação era concentrado em duas relações SeaORM incorretas, apesar da aparência de centenas de erros independentes. Depois de corrigir a modelagem, foi possível detectar e reparar uma falha crítica de configuração do JWT e inconsistências objetivas no pipeline HTTP. O workspace está compilando, os 10 testes passam e o lint estrito está limpo. Os riscos restantes estão registrados acima para uma próxima etapa controlada.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144" w:val="right"/>
      </w:tabs>
      <w:spacing w:before="0" w:after="0"/>
      <w:jc w:val="left"/>
    </w:pPr>
    <w:r>
      <w:rPr>
        <w:rFonts w:ascii="Calibri" w:hAnsi="Calibri" w:eastAsia="Calibri"/>
        <w:color w:val="666666"/>
        <w:sz w:val="17"/>
      </w:rPr>
      <w:t>25 ago 2026  |  Diagnóstico e correções</w:t>
    </w:r>
    <w:r>
      <w:rPr>
        <w:rFonts w:ascii="Calibri" w:hAnsi="Calibri" w:eastAsia="Calibri"/>
        <w:color w:val="666666"/>
        <w:sz w:val="18"/>
      </w:rPr>
      <w:tab/>
      <w:t xml:space="preserve">Página </w:t>
    </w:r>
    <w:r>
      <w:rPr>
        <w:rFonts w:ascii="Calibri" w:hAnsi="Calibri" w:eastAsia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Calibri"/>
        <w:b/>
        <w:color w:val="666666"/>
        <w:sz w:val="17"/>
      </w:rPr>
      <w:t>ARCHTI BACKEND  |  RELATÓRIO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6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 w:val="0"/>
      <w:iCs/>
      <w:color w:val="3F3F3F"/>
      <w:spacing w:val="15"/>
      <w:sz w:val="28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100" w:after="140" w:line="240" w:lineRule="auto"/>
      <w:ind w:left="259" w:right="173"/>
    </w:pPr>
    <w:rPr>
      <w:rFonts w:ascii="Consolas" w:hAnsi="Consolas"/>
      <w:color w:val="0B2545"/>
      <w:sz w:val="19"/>
      <w:lang w:val="pt-BR"/>
    </w:rPr>
  </w:style>
  <w:style w:type="paragraph" w:customStyle="1" w:styleId="SmallNote">
    <w:name w:val="Small Note"/>
    <w:pPr>
      <w:spacing w:before="80" w:after="80" w:line="240" w:lineRule="auto"/>
    </w:pPr>
    <w:rPr>
      <w:rFonts w:ascii="Calibri" w:hAnsi="Calibri"/>
      <w:color w:val="666666"/>
      <w:sz w:val="18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tecnico - diagnostico e correcoes do ArchTI Backend</dc:title>
  <dc:subject>Erros de compilacao, causas raiz, correcoes e validacao</dc:subject>
  <dc:creator>ArchTI</dc:creator>
  <cp:keywords>Rust, SeaORM, JWT, Salvo, compilacao, diagnostico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