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6000000" cy="40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r>
        <w:drawing>
          <wp:inline distT="0" distR="0" distB="0" distL="0">
            <wp:extent cx="6000000" cy="40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drawing>
          <wp:inline distT="0" distR="0" distB="0" distL="0">
            <wp:extent cx="6000000" cy="400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80"/>
      </w:pPr>
      <w:r>
        <w:t>testtestestttesttesttesttesttesttesttesttesttestesttesttesttesttesttesttesttesttesttestttesttesttesttesttesttest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Relationship Id="rId4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流量安全设备事件统计</a:t>
            </a:r>
            <a:endParaRPr lang="en-US" sz="1100"/>
          </a:p>
        </c:rich>
      </c:tx>
      <c:layout/>
      <c:overlay val="false"/>
    </c:title>
    <c:autoTitleDeleted val="false"/>
    <c:plotArea>
      <c:pieChart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数量</c:v>
                </c:pt>
              </c:strCache>
            </c:strRef>
          </c:tx>
          <c:cat>
            <c:strRef>
              <c:f>Sheet0!$A$2:$A$6</c:f>
              <c:strCache>
                <c:ptCount val="5"/>
                <c:pt idx="0">
                  <c:v>Web攻击</c:v>
                </c:pt>
                <c:pt idx="1">
                  <c:v>入侵事件</c:v>
                </c:pt>
                <c:pt idx="2">
                  <c:v>资产识别</c:v>
                </c:pt>
                <c:pt idx="3">
                  <c:v>APP应用识别</c:v>
                </c:pt>
                <c:pt idx="4">
                  <c:v>DDOS攻击</c:v>
                </c:pt>
              </c:strCache>
            </c:strRef>
          </c:cat>
          <c:val>
            <c:numRef>
              <c:f>Sheet0!$B$2:$B$6</c:f>
              <c:numCache>
                <c:formatCode>General</c:formatCode>
                <c:ptCount val="5"/>
                <c:pt idx="0">
                  <c:v>1.0</c:v>
                </c:pt>
                <c:pt idx="1">
                  <c:v>20.0</c:v>
                </c:pt>
                <c:pt idx="2">
                  <c:v>14.0</c:v>
                </c:pt>
                <c:pt idx="3">
                  <c:v>10.0</c:v>
                </c:pt>
                <c:pt idx="4">
                  <c:v>3.0</c:v>
                </c:pt>
              </c:numCache>
            </c:numRef>
          </c:val>
        </c:ser>
      </c:pie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majorTickMark val="out"/>
        <c:minorTickMark val="none"/>
        <c:tickLblPos val="nextTo"/>
        <c:crossAx val="0"/>
        <c:crosses val="autoZero"/>
        <c:crossBetween val="between"/>
      </c:valAx>
    </c:plotArea>
    <c:legend>
      <c:legendPos val="t"/>
      <c:overlay val="false"/>
    </c:legend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流量安全设备事件统计</a:t>
            </a:r>
            <a:endParaRPr lang="en-US" sz="1100"/>
          </a:p>
        </c:rich>
      </c:tx>
      <c:layout/>
      <c:overlay val="false"/>
    </c:title>
    <c:autoTitleDeleted val="false"/>
    <c:plotArea>
      <c:lineChart>
        <c:grouping val="standard"/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数量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Sheet0!$B$2:$B$5</c:f>
              <c:numCache>
                <c:formatCode>General</c:formatCode>
                <c:ptCount val="4"/>
                <c:pt idx="0">
                  <c:v>15.0</c:v>
                </c:pt>
                <c:pt idx="1">
                  <c:v>20.0</c:v>
                </c:pt>
                <c:pt idx="2">
                  <c:v>14.5</c:v>
                </c:pt>
                <c:pt idx="3">
                  <c:v>11.2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质量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Sheet0!$C$2:$C$5</c:f>
              <c:numCache>
                <c:formatCode>General</c:formatCode>
                <c:ptCount val="4"/>
                <c:pt idx="0">
                  <c:v>21.0</c:v>
                </c:pt>
                <c:pt idx="1">
                  <c:v>2.2</c:v>
                </c:pt>
                <c:pt idx="2">
                  <c:v>23.4</c:v>
                </c:pt>
                <c:pt idx="3">
                  <c:v>25.2</c:v>
                </c:pt>
              </c:numCache>
            </c:numRef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majorTickMark val="out"/>
        <c:minorTickMark val="none"/>
        <c:tickLblPos val="nextTo"/>
        <c:crossAx val="0"/>
        <c:crosses val="autoZero"/>
        <c:crossBetween val="between"/>
      </c:valAx>
    </c:plotArea>
    <c:legend>
      <c:legendPos val="t"/>
      <c:overlay val="false"/>
    </c:legend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test</a:t>
            </a:r>
            <a:endParaRPr lang="en-US" sz="1100"/>
          </a:p>
        </c:rich>
      </c:tx>
      <c:layout/>
      <c:overlay val="false"/>
    </c:title>
    <c:autoTitleDeleted val="false"/>
    <c:plotArea>
      <c:barChart>
        <c:barDir val="col"/>
        <c:grouping val="clustered"/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abc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Sheet0!$B$2:$B$5</c:f>
              <c:numCache>
                <c:formatCode>General</c:formatCode>
                <c:ptCount val="4"/>
                <c:pt idx="0">
                  <c:v>15.0</c:v>
                </c:pt>
                <c:pt idx="1">
                  <c:v>20.0</c:v>
                </c:pt>
                <c:pt idx="2">
                  <c:v>14.5</c:v>
                </c:pt>
                <c:pt idx="3">
                  <c:v>11.2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ddd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Sheet0!$C$2:$C$5</c:f>
              <c:numCache>
                <c:formatCode>General</c:formatCode>
                <c:ptCount val="4"/>
                <c:pt idx="0">
                  <c:v>21.0</c:v>
                </c:pt>
                <c:pt idx="1">
                  <c:v>2.2</c:v>
                </c:pt>
                <c:pt idx="2">
                  <c:v>23.4</c:v>
                </c:pt>
                <c:pt idx="3">
                  <c:v>25.2</c:v>
                </c:pt>
              </c:numCache>
            </c:numRef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majorTickMark val="out"/>
        <c:minorTickMark val="none"/>
        <c:tickLblPos val="nextTo"/>
        <c:crossAx val="0"/>
        <c:crosses val="autoZero"/>
        <c:crossBetween val="between"/>
      </c:valAx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2020-02-16T11:57:03Z</dcterms:created>
  <dc:creator>Apache POI</dc:creator>
</cp:coreProperties>
</file>