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R="0" distB="0" distL="0">
            <wp:extent cx="5000000" cy="500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r>
        <w:drawing>
          <wp:inline distT="0" distR="0" distB="0" distL="0">
            <wp:extent cx="5000000" cy="500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ind w:firstLine="100"/>
      </w:pPr>
      <w:r>
        <w:t>testtestestttesttesttesttesttesttesttesttesttestesttesttesttesttesttesttesttesttesttestttesttesttesttesttesttest</w:t>
      </w:r>
    </w:p>
    <w:p>
      <w:pPr>
        <w:ind w:firstLine="480"/>
      </w:pPr>
      <w:r>
        <w:t>testtestestttesttesttesttesttesttesttesttesttestesttesttesttesttesttesttesttesttesttestttesttesttesttesttesttest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Relationship Id="rId3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流量安全设备事件统计</a:t>
            </a:r>
            <a:endParaRPr lang="en-US" sz="1100"/>
          </a:p>
        </c:rich>
      </c:tx>
      <c:layout/>
      <c:overlay val="false"/>
    </c:title>
    <c:autoTitleDeleted val="false"/>
    <c:plotArea>
      <c:lineChart>
        <c:grouping val="standard"/>
        <c:varyColors val="true"/>
        <c:ser>
          <c:idx val="0"/>
          <c:order val="0"/>
          <c:tx>
            <c:strRef>
              <c:f>Sheet0!$B$1</c:f>
              <c:strCache>
                <c:ptCount val="1"/>
                <c:pt idx="0">
                  <c:v>数量</c:v>
                </c:pt>
              </c:strCache>
            </c:strRef>
          </c:tx>
          <c:cat>
            <c:strRef>
              <c:f>Sheet0!$A$2:$A$5</c:f>
              <c:strCache>
                <c:ptCount val="4"/>
                <c:pt idx="0">
                  <c:v>2020-02-10</c:v>
                </c:pt>
                <c:pt idx="1">
                  <c:v>2020-02-11</c:v>
                </c:pt>
                <c:pt idx="2">
                  <c:v>2020-02-12</c:v>
                </c:pt>
                <c:pt idx="3">
                  <c:v>2020-02-13</c:v>
                </c:pt>
              </c:strCache>
            </c:strRef>
          </c:cat>
          <c:val>
            <c:numRef>
              <c:f>Sheet0!$B$2:$B$5</c:f>
              <c:numCache>
                <c:formatCode>General</c:formatCode>
                <c:ptCount val="4"/>
                <c:pt idx="0">
                  <c:v>15.0</c:v>
                </c:pt>
                <c:pt idx="1">
                  <c:v>20.0</c:v>
                </c:pt>
                <c:pt idx="2">
                  <c:v>14.5</c:v>
                </c:pt>
                <c:pt idx="3">
                  <c:v>11.2</c:v>
                </c:pt>
              </c:numCache>
            </c:numRef>
          </c:val>
        </c:ser>
        <c:ser>
          <c:idx val="1"/>
          <c:order val="1"/>
          <c:tx>
            <c:strRef>
              <c:f>Sheet0!$C$1</c:f>
              <c:strCache>
                <c:ptCount val="1"/>
                <c:pt idx="0">
                  <c:v>质量</c:v>
                </c:pt>
              </c:strCache>
            </c:strRef>
          </c:tx>
          <c:cat>
            <c:strRef>
              <c:f>Sheet0!$A$2:$A$5</c:f>
              <c:strCache>
                <c:ptCount val="4"/>
                <c:pt idx="0">
                  <c:v>2020-02-10</c:v>
                </c:pt>
                <c:pt idx="1">
                  <c:v>2020-02-11</c:v>
                </c:pt>
                <c:pt idx="2">
                  <c:v>2020-02-12</c:v>
                </c:pt>
                <c:pt idx="3">
                  <c:v>2020-02-13</c:v>
                </c:pt>
              </c:strCache>
            </c:strRef>
          </c:cat>
          <c:val>
            <c:numRef>
              <c:f>Sheet0!$C$2:$C$5</c:f>
              <c:numCache>
                <c:formatCode>General</c:formatCode>
                <c:ptCount val="4"/>
                <c:pt idx="0">
                  <c:v>21.0</c:v>
                </c:pt>
                <c:pt idx="1">
                  <c:v>2.2</c:v>
                </c:pt>
                <c:pt idx="2">
                  <c:v>23.4</c:v>
                </c:pt>
                <c:pt idx="3">
                  <c:v>25.2</c:v>
                </c:pt>
              </c:numCache>
            </c:numRef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1"/>
        <c:crosses val="autoZero"/>
      </c:catAx>
      <c:valAx>
        <c:axId val="1"/>
        <c:scaling>
          <c:orientation val="minMax"/>
        </c:scaling>
        <c:delete val="false"/>
        <c:axPos val="l"/>
        <c:majorTickMark val="out"/>
        <c:minorTickMark val="none"/>
        <c:tickLblPos val="nextTo"/>
        <c:crossAx val="0"/>
        <c:crosses val="autoZero"/>
        <c:crossBetween val="between"/>
      </c:valAx>
    </c:plotArea>
    <c:legend>
      <c:legendPos val="t"/>
      <c:overlay val="false"/>
    </c:legend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test</a:t>
            </a:r>
            <a:endParaRPr lang="en-US" sz="1100"/>
          </a:p>
        </c:rich>
      </c:tx>
      <c:layout/>
      <c:overlay val="false"/>
    </c:title>
    <c:autoTitleDeleted val="false"/>
    <c:plotArea>
      <c:barChart>
        <c:barDir val="col"/>
        <c:grouping val="clustered"/>
        <c:varyColors val="true"/>
        <c:ser>
          <c:idx val="0"/>
          <c:order val="0"/>
          <c:tx>
            <c:strRef>
              <c:f>Sheet0!$B$1</c:f>
              <c:strCache>
                <c:ptCount val="1"/>
                <c:pt idx="0">
                  <c:v>abc</c:v>
                </c:pt>
              </c:strCache>
            </c:strRef>
          </c:tx>
          <c:cat>
            <c:strRef>
              <c:f>Sheet0!$A$2:$A$5</c:f>
              <c:strCache>
                <c:ptCount val="4"/>
                <c:pt idx="0">
                  <c:v>2020-02-10</c:v>
                </c:pt>
                <c:pt idx="1">
                  <c:v>2020-02-11</c:v>
                </c:pt>
                <c:pt idx="2">
                  <c:v>2020-02-12</c:v>
                </c:pt>
                <c:pt idx="3">
                  <c:v>2020-02-13</c:v>
                </c:pt>
              </c:strCache>
            </c:strRef>
          </c:cat>
          <c:val>
            <c:numRef>
              <c:f>Sheet0!$B$2:$B$5</c:f>
              <c:numCache>
                <c:formatCode>General</c:formatCode>
                <c:ptCount val="4"/>
                <c:pt idx="0">
                  <c:v>15.0</c:v>
                </c:pt>
                <c:pt idx="1">
                  <c:v>20.0</c:v>
                </c:pt>
                <c:pt idx="2">
                  <c:v>14.5</c:v>
                </c:pt>
                <c:pt idx="3">
                  <c:v>11.2</c:v>
                </c:pt>
              </c:numCache>
            </c:numRef>
          </c:val>
        </c:ser>
        <c:ser>
          <c:idx val="1"/>
          <c:order val="1"/>
          <c:tx>
            <c:strRef>
              <c:f>Sheet0!$C$1</c:f>
              <c:strCache>
                <c:ptCount val="1"/>
                <c:pt idx="0">
                  <c:v>ddd</c:v>
                </c:pt>
              </c:strCache>
            </c:strRef>
          </c:tx>
          <c:cat>
            <c:strRef>
              <c:f>Sheet0!$A$2:$A$5</c:f>
              <c:strCache>
                <c:ptCount val="4"/>
                <c:pt idx="0">
                  <c:v>2020-02-10</c:v>
                </c:pt>
                <c:pt idx="1">
                  <c:v>2020-02-11</c:v>
                </c:pt>
                <c:pt idx="2">
                  <c:v>2020-02-12</c:v>
                </c:pt>
                <c:pt idx="3">
                  <c:v>2020-02-13</c:v>
                </c:pt>
              </c:strCache>
            </c:strRef>
          </c:cat>
          <c:val>
            <c:numRef>
              <c:f>Sheet0!$C$2:$C$5</c:f>
              <c:numCache>
                <c:formatCode>General</c:formatCode>
                <c:ptCount val="4"/>
                <c:pt idx="0">
                  <c:v>21.0</c:v>
                </c:pt>
                <c:pt idx="1">
                  <c:v>2.2</c:v>
                </c:pt>
                <c:pt idx="2">
                  <c:v>23.4</c:v>
                </c:pt>
                <c:pt idx="3">
                  <c:v>25.2</c:v>
                </c:pt>
              </c:numCache>
            </c:numRef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majorTickMark val="cross"/>
        <c:minorTickMark val="none"/>
        <c:tickLblPos val="nextTo"/>
        <c:crossAx val="1"/>
        <c:crosses val="autoZero"/>
      </c:catAx>
      <c:valAx>
        <c:axId val="1"/>
        <c:scaling>
          <c:orientation val="minMax"/>
        </c:scaling>
        <c:delete val="false"/>
        <c:axPos val="l"/>
        <c:majorTickMark val="out"/>
        <c:minorTickMark val="none"/>
        <c:tickLblPos val="nextTo"/>
        <c:crossAx val="0"/>
        <c:crosses val="autoZero"/>
        <c:crossBetween val="between"/>
      </c:valAx>
    </c:plotArea>
    <c:legend>
      <c:legendPos val="t"/>
      <c:overlay val="false"/>
    </c:legend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2020-02-15T17:19:13Z</dcterms:created>
  <dc:creator>Apache POI</dc:creator>
</cp:coreProperties>
</file>