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6"/>
          <w:szCs w:val="46"/>
        </w:rPr>
      </w:pPr>
      <w:bookmarkStart w:colFirst="0" w:colLast="0" w:name="_s35o87udb4d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Passaí Gold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R$ 800,00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12x R$16,64 ou R$199,80/ano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não possui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c6otsvi1v6b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Passaí Gold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Benefícios do cartão Passaí Gold: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Condições especiais: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Parcele suas compras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3x sem juros</w:t>
      </w:r>
      <w:r w:rsidDel="00000000" w:rsidR="00000000" w:rsidRPr="00000000">
        <w:rPr>
          <w:sz w:val="24"/>
          <w:szCs w:val="24"/>
          <w:rtl w:val="0"/>
        </w:rPr>
        <w:t xml:space="preserve"> no Assaí pagando com o seu cartão Passaí.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Pneus em até 10x e condições de parcelamentos diferenciadas pagando com o seu Passaí.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Pague sempre o menor preço: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Pague preço de atacado a partir da primeira unidade nas </w:t>
      </w:r>
      <w:hyperlink r:id="rId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lojas Assaí</w:t>
        </w:r>
      </w:hyperlink>
      <w:r w:rsidDel="00000000" w:rsidR="00000000" w:rsidRPr="00000000">
        <w:rPr>
          <w:sz w:val="24"/>
          <w:szCs w:val="24"/>
          <w:rtl w:val="0"/>
        </w:rPr>
        <w:t xml:space="preserve">, para itens aplicáveis. Confira as etiquetas com destaque de preço nas lojas.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desconto serão aplicados automaticamente ao realizar o pagamento  dos produtos elegíveis com o seu cartão Passaí Itaú ;)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Flexibilidade: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você exceder o seu limite, seu Passaí Gold já faz uma avaliação emergencial de crédito a custo zero para tentar liberar sua próxima compra.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poderá cancelar este serviço a qualquer momento através do chat no nosso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t xml:space="preserve">app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ou na </w:t>
      </w: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t xml:space="preserve">central de atendimento.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Benefício Visa:</w:t>
        <w:br w:type="textWrapping"/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cartão Visa Gold oferece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exclusividades para você: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Garantia estendida.​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Proteção de compras.​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Proteção de Preços.​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Serviço de saque emergencial.​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Substituição emergencial do cartão.​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Vai de Visa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ssai.com.br/nossas-lojas" TargetMode="External"/><Relationship Id="rId7" Type="http://schemas.openxmlformats.org/officeDocument/2006/relationships/hyperlink" Target="https://t27f.adj.st/?adj_t=q9toggu_jhiw5jt&amp;adj_deeplink=itaucard://home&amp;adj_campaign=GPA&amp;adj_adgroup=DigitalizacaoItaucard&amp;adj_creative=Itaucard" TargetMode="External"/><Relationship Id="rId8" Type="http://schemas.openxmlformats.org/officeDocument/2006/relationships/hyperlink" Target="https://www.itau.com.br/atendimento-itau/para-voce/telefo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