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 Memo About Nothing</w:t>
      </w:r>
    </w:p>
    <w:p>
      <w:r>
        <w:t xml:space="preserve">This document exists so the importer has something real to chew on.</w:t>
      </w:r>
    </w:p>
    <w:p>
      <w:pPr>
        <w:pStyle w:val="Heading2"/>
      </w:pPr>
      <w:r>
        <w:t xml:space="preserve">Costs</w:t>
      </w:r>
    </w:p>
    <w:p>
      <w:r>
        <w:t xml:space="preserve">The second section proves that headings split into their own chapters.</w:t>
      </w:r>
    </w:p>
    <w:p>
      <w:r>
        <w:t xml:space="preserve">It also proves that ordinary paragraphs survive the trip intact.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?>
<Relationships xmlns="http://schemas.openxmlformats.org/package/2006/relationships">
<Relationship Id="rId1" Type="http://schemas.openxmlformats.org/officeDocument/2006/relationships/styles" Target="styles.xml"/>
</Relationships>
</file>