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Arial" w:hAnsi="Arial"/>
          <w:b/>
          <w:color w:val="1F3A5F"/>
          <w:sz w:val="48"/>
        </w:rPr>
        <w:t>RASX MANI ARQU V5 (CHAT)</w:t>
      </w:r>
    </w:p>
    <w:p>
      <w:pPr>
        <w:spacing w:after="280"/>
      </w:pPr>
      <w:r>
        <w:rPr>
          <w:b/>
          <w:color w:val="5A5A5A"/>
          <w:sz w:val="26"/>
        </w:rPr>
        <w:t>Manifesto de Arquitetura, Layout, PDF, Semântica e Codificação do RASX Evolutivo Integrativo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3F0"/>
          </w:tcPr>
          <w:p>
            <w:pPr>
              <w:jc w:val="center"/>
            </w:pPr>
            <w:r>
              <w:rPr>
                <w:rFonts w:ascii="Arial" w:hAnsi="Arial"/>
                <w:b/>
                <w:color w:val="1F3A5F"/>
                <w:sz w:val="19"/>
              </w:rPr>
              <w:t>Papel do documento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3F0"/>
          </w:tcPr>
          <w:p>
            <w:pPr>
              <w:jc w:val="center"/>
            </w:pPr>
            <w:r>
              <w:rPr>
                <w:rFonts w:ascii="Arial" w:hAnsi="Arial"/>
                <w:b/>
                <w:color w:val="1F3A5F"/>
                <w:sz w:val="19"/>
              </w:rPr>
              <w:t>Orientar o Dr. Claude na orquestração semântica e o Dr. Replit na implementação em TypeScript do RASX evolutivo, com foco em elegância, previsibilidade documental e clareza TDAH/TOC friendly.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Documento-alvo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RASX completo do paciente, com páginas A4 em retrato e paisagem no mesmo PDF.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Princípio-mestre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O paciente deve girar o celular e continuar lendo sem quebra de lógica, mantendo o mesmo DNA visual.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Versão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V5 — refinada para implementação real no motor clínico.</w:t>
            </w:r>
          </w:p>
        </w:tc>
      </w:tr>
    </w:tbl>
    <w:p/>
    <w:p>
      <w:pPr>
        <w:pStyle w:val="Heading1"/>
        <w:spacing w:after="120"/>
      </w:pPr>
      <w:r>
        <w:rPr>
          <w:b w:val="0"/>
        </w:rPr>
        <w:t>1. Visão clínica-forense do RASX</w:t>
      </w:r>
    </w:p>
    <w:p>
      <w:pPr>
        <w:spacing w:after="80"/>
      </w:pPr>
      <w:r>
        <w:rPr>
          <w:b w:val="0"/>
        </w:rPr>
        <w:t>Este RAS não é um simples formulário nem um espelho de prescrição. Ele é um documento narrativo, matricial e cronológico do terreno biológico do paciente: como iniciou, quais patologias já estavam instaladas, quais riscos estavam em formação, quais órgãos estavam sob maior pressão, quais medicamentos sustentavam aquele momento e como a intervenção integrativa alterou essa curva ao longo do tempo.</w:t>
      </w:r>
    </w:p>
    <w:p>
      <w:pPr>
        <w:spacing w:after="80"/>
      </w:pPr>
      <w:r>
        <w:rPr>
          <w:b w:val="0"/>
        </w:rPr>
        <w:t>Na medicina integrativa, a retirada de medicamento não é ponto de partida; é consequência de melhora clínica, funcional e, quando aplicável, laboratorial. O sistema deve mostrar a história completa: doença, órgão, prognóstico, medicamento, redução, substituição natural e evolução.</w:t>
      </w:r>
    </w:p>
    <w:p>
      <w:pPr>
        <w:pStyle w:val="Heading2"/>
        <w:spacing w:after="80"/>
      </w:pPr>
      <w:r>
        <w:rPr>
          <w:b w:val="0"/>
        </w:rPr>
        <w:t>Texto-base institucional para entrar no PDF do paciente</w:t>
      </w:r>
    </w:p>
    <w:p>
      <w:pPr>
        <w:spacing w:after="80"/>
      </w:pPr>
      <w:r>
        <w:rPr>
          <w:b w:val="0"/>
          <w:color w:val="5A5A5A"/>
        </w:rPr>
        <w:t>“Nós não somos apenas o que comemos; somos o que absorvemos, metabolizamos e utilizamos. Com a idade, com a inflamação e com o estresse biológico crônico, a absorção pode cair, a produção hormonal diminui e o organismo passa a sustentar sintomas e doenças de forma progressiva. Por isso, este relatório acompanha não apenas doenças e medicamentos, mas a recuperação do terreno biológico, dos órgãos, do sono, da energia, da cognição e da capacidade funcional do paciente.”</w:t>
      </w:r>
    </w:p>
    <w:p>
      <w:pPr>
        <w:pStyle w:val="Heading1"/>
        <w:spacing w:after="120"/>
      </w:pPr>
      <w:r>
        <w:rPr>
          <w:b w:val="0"/>
        </w:rPr>
        <w:t>2. Famílias semânticas e nomenclatura</w:t>
      </w:r>
    </w:p>
    <w:p>
      <w:pPr>
        <w:pStyle w:val="ListBullet"/>
      </w:pPr>
      <w:r>
        <w:t>RACL = RAS Caderno Clínico</w:t>
      </w:r>
    </w:p>
    <w:p>
      <w:pPr>
        <w:pStyle w:val="ListBullet"/>
      </w:pPr>
      <w:r>
        <w:t>RACJ = RAS Caderno Jurídico</w:t>
      </w:r>
    </w:p>
    <w:p>
      <w:pPr>
        <w:pStyle w:val="ListBullet"/>
      </w:pPr>
      <w:r>
        <w:t>RASX = Documento completo do paciente</w:t>
      </w:r>
    </w:p>
    <w:p>
      <w:pPr>
        <w:pStyle w:val="ListBullet"/>
      </w:pPr>
      <w:r>
        <w:t>ARQU = Núcleo de arquitetura documental e técnica</w:t>
      </w:r>
    </w:p>
    <w:p>
      <w:pPr>
        <w:pStyle w:val="ListBullet"/>
      </w:pPr>
      <w:r>
        <w:t>REVO = Núcleo evolutivo de saúde</w:t>
      </w:r>
    </w:p>
    <w:p>
      <w:pPr>
        <w:spacing w:after="80"/>
      </w:pPr>
      <w:r>
        <w:rPr>
          <w:b w:val="0"/>
        </w:rPr>
        <w:t>Regra de nomenclatura: [FAMÍLIA] [SIGLA] [FUNÇÃO]. Ex.: RACL HMED = RAS Caderno Clínico — Medicamentos em uso; RACL HTRN = RAS Caderno Clínico — Transição terapêutica.</w:t>
      </w:r>
    </w:p>
    <w:p>
      <w:pPr>
        <w:pStyle w:val="Heading1"/>
        <w:spacing w:after="120"/>
      </w:pPr>
      <w:r>
        <w:rPr>
          <w:b w:val="0"/>
        </w:rPr>
        <w:t>3. Estrutura documental do RASX completo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Caderno / sessão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A4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Obrigatório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RACL HEST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Estado inicial de saúde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Snapshot do início: patologias, órgãos, risco, contexto funcional e medicamentos em uso.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Retrato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Sim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RACL HPOT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Patologias potenciais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Mapa de progressão provável baseado em questionário, anamnese, exames e terreno biológico.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Retrato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Sim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RACL HORG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Órgãos e sistemas afetados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Correlação patologia → órgão → intensidade → risco/prognóstico.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Paisagem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Sim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RACL HMED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Medicamentos em uso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Lista linear e rastreável dos remédios em uso no início do tratamento.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Paisagem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Sim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RACL HLIN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Linha temporal de medicação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Tabela com datas de redução, manutenção, troca ou suspensão de cada remédio.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Paisagem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Sim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RACL HTRN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Transição terapêutica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Remédio reduzido ou retirado x fórmula natural ou suporte integrativo x evidência clínica de melhora.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Paisagem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Sim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RACL HEVO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Evolução clínica comparativa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Antes → transição → atual, com percentuais, setas e semáforos.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Paisagem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Sim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RACL HCUR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Curvas declinante e ascendente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Doença/remédios descendo; saúde/órgãos/suplementação subindo.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Paisagem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Sim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RACL HATU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Estado atual de saúde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Resumo consolidado da condição clínica atual.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Retrato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Sim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RACL HPLA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Próxima etapa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Próximos exames, metas, lembretes e pontos de atenção.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Retrato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Opcional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RACL HTEC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Referência técnica interna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Campos dinâmicos, placeholders, regras de cálculo e leitura da equipe.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Retrato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Interno</w:t>
            </w:r>
          </w:p>
        </w:tc>
      </w:tr>
    </w:tbl>
    <w:p/>
    <w:p>
      <w:pPr>
        <w:pStyle w:val="Heading1"/>
        <w:spacing w:after="120"/>
      </w:pPr>
      <w:r>
        <w:rPr>
          <w:b w:val="0"/>
        </w:rPr>
        <w:t>4. Arquitetura do layout do PDF</w:t>
      </w:r>
    </w:p>
    <w:p>
      <w:pPr>
        <w:spacing w:after="80"/>
      </w:pPr>
      <w:r>
        <w:rPr>
          <w:b w:val="0"/>
        </w:rPr>
        <w:t>O PDF final é um único documental híbrido. Ele deve combinar páginas em retrato e páginas em paisagem no mesmo arquivo, sem perder identidade visual. O paciente vê um documento único. O motor clínico entende vários cadernos independentes.</w:t>
      </w:r>
    </w:p>
    <w:p>
      <w:pPr>
        <w:pStyle w:val="Heading2"/>
        <w:spacing w:after="80"/>
      </w:pPr>
      <w:r>
        <w:rPr>
          <w:b w:val="0"/>
        </w:rPr>
        <w:t>DNA visual obrigatório</w:t>
      </w:r>
    </w:p>
    <w:p>
      <w:pPr>
        <w:pStyle w:val="ListBullet"/>
      </w:pPr>
      <w:r>
        <w:t>Paleta: azul petróleo, off-white, dourado queimado e verde sálvia.</w:t>
      </w:r>
    </w:p>
    <w:p>
      <w:pPr>
        <w:pStyle w:val="ListBullet"/>
      </w:pPr>
      <w:r>
        <w:t>Logo do Instituto Pádua no cabeçalho superior direito, com margem de respiro fixa.</w:t>
      </w:r>
    </w:p>
    <w:p>
      <w:pPr>
        <w:pStyle w:val="ListBullet"/>
      </w:pPr>
      <w:r>
        <w:t>Títulos grandes, elegantes e alinhados à esquerda.</w:t>
      </w:r>
    </w:p>
    <w:p>
      <w:pPr>
        <w:pStyle w:val="ListBullet"/>
      </w:pPr>
      <w:r>
        <w:t>Textos curtos nas áreas de resumo e textos mais densos apenas nas áreas explicativas.</w:t>
      </w:r>
    </w:p>
    <w:p>
      <w:pPr>
        <w:pStyle w:val="ListBullet"/>
      </w:pPr>
      <w:r>
        <w:t>Legendas sempre presentes. Nenhum ícone ou semáforo sem legenda textual.</w:t>
      </w:r>
    </w:p>
    <w:p>
      <w:pPr>
        <w:pStyle w:val="ListBullet"/>
      </w:pPr>
      <w:r>
        <w:t>Rodapé discreto com versão, data de geração e motor clínico.</w:t>
      </w:r>
    </w:p>
    <w:p>
      <w:pPr>
        <w:pStyle w:val="Heading2"/>
        <w:spacing w:after="80"/>
      </w:pPr>
      <w:r>
        <w:rPr>
          <w:b w:val="0"/>
        </w:rPr>
        <w:t>Regras de orientação</w:t>
      </w:r>
    </w:p>
    <w:p>
      <w:pPr>
        <w:pStyle w:val="ListBullet"/>
      </w:pPr>
      <w:r>
        <w:t>Retrato para capa, introdução, estado inicial, estado atual, próxima etapa e referência técnica.</w:t>
      </w:r>
    </w:p>
    <w:p>
      <w:pPr>
        <w:pStyle w:val="ListBullet"/>
      </w:pPr>
      <w:r>
        <w:t>Paisagem para grandes matrizes comparativas, timeline linear de medicação, curvas e mapas por órgão.</w:t>
      </w:r>
    </w:p>
    <w:p>
      <w:pPr>
        <w:pStyle w:val="ListBullet"/>
      </w:pPr>
      <w:r>
        <w:t>O paciente gira o celular e continua lendo o mesmo documento. Não pode haver sensação de quebra de estilo.</w:t>
      </w:r>
    </w:p>
    <w:p>
      <w:pPr>
        <w:pStyle w:val="Heading1"/>
        <w:spacing w:after="120"/>
      </w:pPr>
      <w:r>
        <w:rPr>
          <w:b w:val="0"/>
        </w:rPr>
        <w:t>5. Placeholders e arquitetura interna de renderização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Zona visual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Placeholder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Regra de montagem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Cabeçalho superior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{{logoInstituto}} | {{tituloCaderno}} | {{codigoProtocolo}}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Logo à direita; título à esquerda; código em linha secundária.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Bloco paciente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{{nomePaciente}} | {{idade}} | {{dataBase}} | {{medico}} | {{unidade}}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Duas linhas de pares ou quatro linhas verticais; alinhamento estável.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Resumo clínico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{{textoInstitucional}} | {{statusClinico}} | {{adesao}}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Área curta, com no máximo 3 a 5 linhas por bloco.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Matriz inicial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{{matrizEstadoInicial}}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Colunas largas, sem grid pesado desnecessário; leitura imediata.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Matriz de medicação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{{matrizMedicacaoAtual}}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Um campo para medicamento com dose embutida; outro campo para posologia.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Linha temporal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{{timelineMedicacao}}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Tabela linear com datas, evolução da dose e status da medicação.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Curvas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{{curvaDoenca}} | {{curvaSaude}}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Área fixa em paisagem com eixos simples.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Rodapé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{{versao}} | {{dataGeracao}} | {{motorClinico}}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Sempre padronizado e discreto.</w:t>
            </w:r>
          </w:p>
        </w:tc>
      </w:tr>
    </w:tbl>
    <w:p/>
    <w:p>
      <w:pPr>
        <w:pStyle w:val="Heading1"/>
        <w:spacing w:after="120"/>
      </w:pPr>
      <w:r>
        <w:rPr>
          <w:b w:val="0"/>
        </w:rPr>
        <w:t>6. Regra específica para medicamentos</w:t>
      </w:r>
    </w:p>
    <w:p>
      <w:pPr>
        <w:spacing w:after="80"/>
      </w:pPr>
      <w:r>
        <w:rPr>
          <w:b w:val="0"/>
        </w:rPr>
        <w:t>Você definiu um ponto estrutural muito importante: não deve existir um campo separado para nome do remédio e outro para dose. O campo do medicamento deve trazer a medicação já com a dosagem incorporada. Exemplo: “Caprio 25 mg”, “Losartana 50 mg”, “Rosuvastatina 10 mg”.</w:t>
      </w:r>
    </w:p>
    <w:p>
      <w:pPr>
        <w:pStyle w:val="Heading2"/>
        <w:spacing w:after="80"/>
      </w:pPr>
      <w:r>
        <w:rPr>
          <w:b w:val="0"/>
        </w:rPr>
        <w:t>Estrutura correta</w:t>
      </w:r>
    </w:p>
    <w:p>
      <w:pPr>
        <w:pStyle w:val="ListBullet"/>
      </w:pPr>
      <w:r>
        <w:t>Campo 1 — Medicamento: Caprio 25 mg</w:t>
      </w:r>
    </w:p>
    <w:p>
      <w:pPr>
        <w:pStyle w:val="ListBullet"/>
      </w:pPr>
      <w:r>
        <w:t>Campo 2 — Posologia: 1 comprimido 2x ao dia</w:t>
      </w:r>
    </w:p>
    <w:p>
      <w:pPr>
        <w:pStyle w:val="ListBullet"/>
      </w:pPr>
      <w:r>
        <w:t>Campo 3 — Data de início em uso</w:t>
      </w:r>
    </w:p>
    <w:p>
      <w:pPr>
        <w:pStyle w:val="ListBullet"/>
      </w:pPr>
      <w:r>
        <w:t>Campo 4 — Data de redução, quando houver</w:t>
      </w:r>
    </w:p>
    <w:p>
      <w:pPr>
        <w:pStyle w:val="ListBullet"/>
      </w:pPr>
      <w:r>
        <w:t>Campo 5 — Nova apresentação após redução: Caprio 12,5 mg</w:t>
      </w:r>
    </w:p>
    <w:p>
      <w:pPr>
        <w:pStyle w:val="ListBullet"/>
      </w:pPr>
      <w:r>
        <w:t>Campo 6 — Data de suspensão, quando houver</w:t>
      </w:r>
    </w:p>
    <w:p>
      <w:pPr>
        <w:pStyle w:val="ListBullet"/>
      </w:pPr>
      <w:r>
        <w:t>Campo 7 — Substituição natural ou integrativa, quando houver</w:t>
      </w:r>
    </w:p>
    <w:p>
      <w:pPr>
        <w:pStyle w:val="ListBullet"/>
      </w:pPr>
      <w:r>
        <w:t>Campo 8 — Critério clínico da mudança</w:t>
      </w:r>
    </w:p>
    <w:p>
      <w:pPr>
        <w:pStyle w:val="Heading2"/>
        <w:spacing w:after="80"/>
      </w:pPr>
      <w:r>
        <w:rPr>
          <w:b w:val="0"/>
        </w:rPr>
        <w:t>Exemplo de tabela linear obrigatória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Medicamento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Posologia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Evento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Substituição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Leitura clínica</w:t>
            </w:r>
          </w:p>
        </w:tc>
      </w:tr>
      <w:tr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01/04/2026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Caprio 50 mg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 comprimido 2x/dia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Uso ativo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Pressão ainda dependente de farmacoterapia.</w:t>
            </w:r>
          </w:p>
        </w:tc>
      </w:tr>
      <w:tr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15/04/2026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Caprio 25 mg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1 comprimido 2x/dia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Redução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Magnésio + ômega-3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Redução parcial após melhora clínica.</w:t>
            </w:r>
          </w:p>
        </w:tc>
      </w:tr>
      <w:tr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01/09/2026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Suspensão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Mantida estratégia natural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Remédio retirado após estabilidade sustentada.</w:t>
            </w:r>
          </w:p>
        </w:tc>
      </w:tr>
    </w:tbl>
    <w:p/>
    <w:p>
      <w:pPr>
        <w:pStyle w:val="Heading1"/>
        <w:spacing w:after="120"/>
      </w:pPr>
      <w:r>
        <w:rPr>
          <w:b w:val="0"/>
        </w:rPr>
        <w:t>7. Regras TDAH/TOC friendly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Deve existir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Não deve acontecer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Alinhamento vertical claro, um bloco abaixo do outro.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Quebra de alinhamento entre títulos, tabelas e observações.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Legendas explicativas sempre presentes.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Símbolos sem legenda.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Colunas invisíveis com larguras estáveis.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Campos que somem e deslocam todo o layout quando vazios.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Contraste visual entre informação primária e secundária.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Parágrafos longos seguidos sem ancoragem visual.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Poucos tons, repetidos com disciplina.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Mistura excessiva de cores ou caixas desnecessárias.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Textos curtos nas áreas-resumo e densidade só onde necessário.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PDF com aparência de planilha crua em vez de documento clínico premium.</w:t>
            </w:r>
          </w:p>
        </w:tc>
      </w:tr>
    </w:tbl>
    <w:p/>
    <w:p>
      <w:pPr>
        <w:sectPr>
          <w:pgSz w:w="12240" w:h="15840"/>
          <w:pgMar w:top="1020" w:right="1020" w:bottom="907" w:left="1134" w:header="720" w:footer="720" w:gutter="0"/>
          <w:cols w:space="720"/>
          <w:docGrid w:linePitch="360"/>
        </w:sectPr>
      </w:pPr>
    </w:p>
    <w:p>
      <w:pPr>
        <w:pStyle w:val="Heading1"/>
        <w:spacing w:after="120"/>
      </w:pPr>
      <w:r>
        <w:rPr>
          <w:b w:val="0"/>
        </w:rPr>
        <w:t>8. Modelo de sessão/caderno em modo paisagem</w:t>
      </w:r>
    </w:p>
    <w:p>
      <w:pPr>
        <w:spacing w:after="80"/>
      </w:pPr>
      <w:r>
        <w:rPr>
          <w:b w:val="0"/>
        </w:rPr>
        <w:t>Este é o coração visual do RASX evolutivo. O paciente gira o celular e lê uma matriz comparativa única, sem perder o fio clínico.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Patologia / sinal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Órgão / sistema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 inicial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Transição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 atual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Medicação / substituição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Leitura clínica</w:t>
            </w:r>
          </w:p>
        </w:tc>
      </w:tr>
      <w:tr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Resistência à insulina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Metabólico / pâncreas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Melhora gradual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Baixa / controlada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Metformina → Berberina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Retirada só após estabilidade clínica e laboratorial.</w:t>
            </w:r>
          </w:p>
        </w:tc>
      </w:tr>
      <w:tr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Hipertensão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Cardiovascular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Moderada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Ajuste + estilo de vida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Leve / monitorada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Losartana ↓ | magnésio + ômega-3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Redução parcial, não retirada abrupta.</w:t>
            </w:r>
          </w:p>
        </w:tc>
      </w:tr>
      <w:tr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Sono ruim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Neuroendócrino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Baixo reparo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Rotina + melatonina + higiene do sono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Sono funcional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Hipnótico eventual → suspenso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Curva de bem-estar ascendente.</w:t>
            </w:r>
          </w:p>
        </w:tc>
      </w:tr>
      <w:tr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Inflamação intestinal / má absorção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Gastrointestinal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Ativa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Estratégia anti-inflamatória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Melhora de absorção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IBP ↓ | glutamina / enzimas / probióticos</w:t>
            </w:r>
          </w:p>
        </w:tc>
        <w:tc>
          <w:tcPr>
            <w:tcW w:type="dxa" w:w="20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Base para responder melhor às reposições.</w:t>
            </w:r>
          </w:p>
        </w:tc>
      </w:tr>
    </w:tbl>
    <w:p/>
    <w:p>
      <w:pPr>
        <w:pStyle w:val="Heading2"/>
        <w:spacing w:after="80"/>
      </w:pPr>
      <w:r>
        <w:rPr>
          <w:b w:val="0"/>
        </w:rPr>
        <w:t>Curvas obrigatórias</w:t>
      </w:r>
    </w:p>
    <w:p>
      <w:pPr>
        <w:pStyle w:val="ListBullet"/>
      </w:pPr>
      <w:r>
        <w:t>Curva declinante: doenças, sinais inflamatórios, dependência medicamentosa e intensidade sintomática.</w:t>
      </w:r>
    </w:p>
    <w:p>
      <w:pPr>
        <w:pStyle w:val="ListBullet"/>
      </w:pPr>
      <w:r>
        <w:t>Curva ascendente: saúde funcional, resposta orgânica, estilo de vida, suplementação/reposição e bem-estar.</w:t>
      </w:r>
    </w:p>
    <w:p>
      <w:pPr>
        <w:sectPr>
          <w:pgSz w:w="15840" w:h="12240" w:orient="landscape"/>
          <w:pgMar w:top="850" w:right="907" w:bottom="794" w:left="907" w:header="720" w:footer="720" w:gutter="0"/>
          <w:cols w:space="720"/>
          <w:docGrid w:linePitch="360"/>
        </w:sectPr>
      </w:pPr>
    </w:p>
    <w:p>
      <w:pPr>
        <w:pStyle w:val="Heading1"/>
        <w:spacing w:after="120"/>
      </w:pPr>
      <w:r>
        <w:rPr>
          <w:b w:val="0"/>
        </w:rPr>
        <w:t>9. Orquestração — quem faz o quê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Agente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Responsabilidade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Entrega esperada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Dr. Chat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Analista forense e compilador semântico. Define significado clínico, arquitetura do RAS, pistas de layout e gramática visual.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Manifesto, semântica, layout, regras de leitura e estrutura de placeholders.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Dr. Claude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Orquestrador clínico-semântico. Converte o manifesto em plano de implementação, correlaciona entidades, fluxos, endpoints e prioridades.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Spec refinada para construção e decisões de arquitetura.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Dr. Replit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Cirurgião-juiz técnico. Codifica em TypeScript, modela schemas, serviços, rotas, renderização e persistência documental.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Código funcional, motor de geração e integração com o sistema.</w:t>
            </w:r>
          </w:p>
        </w:tc>
      </w:tr>
    </w:tbl>
    <w:p/>
    <w:p>
      <w:pPr>
        <w:pStyle w:val="Heading1"/>
        <w:spacing w:after="120"/>
      </w:pPr>
      <w:r>
        <w:rPr>
          <w:b w:val="0"/>
        </w:rPr>
        <w:t>10. Stack TypeScript recomendada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Uso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Backend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TypeScript + Node.js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Serviços, regras de negócio e geração da árvore documental.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Base principal do motor clínico.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Schema / ORM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Drizzle ORM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Tabelas, migrações, enums e JSONB.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Combina com o padrão atual do sistema.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API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Express ou Fastify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Endpoints do RASX e do núcleo evolutivo.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Rotas pequenas, claras e auditáveis.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PDF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Puppeteer HTML-to-PDF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Renderização do RAS final híbrido retrato/paisagem.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Mais flexível para layout refinado do que montar tudo no braço.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Gráficos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Chart.js ou ECharts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Curvas declinante/ascendente e comparativos.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Renderizar como imagem antes de montar o PDF.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Validação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Zod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Validação dos payloads e snapshots.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Fundamental para previsibilidade semântica.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Fila assíncrona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BullMQ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Regeração de PDF, atualização de curvas e relatórios.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Evita travar requests longos.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Auditoria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audit_log + JSONB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Histórico de mudança de classificação e transição terapêutica.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Essencial para governança e LGPD clínica.</w:t>
            </w:r>
          </w:p>
        </w:tc>
      </w:tr>
    </w:tbl>
    <w:p/>
    <w:p>
      <w:pPr>
        <w:pStyle w:val="Heading1"/>
        <w:spacing w:after="120"/>
      </w:pPr>
      <w:r>
        <w:rPr>
          <w:b w:val="0"/>
        </w:rPr>
        <w:t>11. Modelagem TypeScript sugerida</w:t>
      </w:r>
    </w:p>
    <w:p>
      <w:pPr>
        <w:spacing w:after="160"/>
      </w:pPr>
      <w:r>
        <w:rPr>
          <w:rFonts w:ascii="Courier New" w:hAnsi="Courier New"/>
          <w:sz w:val="17"/>
        </w:rPr>
        <w:t>export interface RasxArquMaster {</w:t>
        <w:br/>
      </w:r>
      <w:r>
        <w:rPr>
          <w:rFonts w:ascii="Courier New" w:hAnsi="Courier New"/>
          <w:sz w:val="17"/>
        </w:rPr>
        <w:t xml:space="preserve">  patientId: number;</w:t>
        <w:br/>
      </w:r>
      <w:r>
        <w:rPr>
          <w:rFonts w:ascii="Courier New" w:hAnsi="Courier New"/>
          <w:sz w:val="17"/>
        </w:rPr>
        <w:t xml:space="preserve">  protocolId: number;</w:t>
        <w:br/>
      </w:r>
      <w:r>
        <w:rPr>
          <w:rFonts w:ascii="Courier New" w:hAnsi="Courier New"/>
          <w:sz w:val="17"/>
        </w:rPr>
        <w:t xml:space="preserve">  snapshotInicial: EstadoSaudeSnapshot;</w:t>
        <w:br/>
      </w:r>
      <w:r>
        <w:rPr>
          <w:rFonts w:ascii="Courier New" w:hAnsi="Courier New"/>
          <w:sz w:val="17"/>
        </w:rPr>
        <w:t xml:space="preserve">  snapshotAtual: EstadoSaudeSnapshot;</w:t>
        <w:br/>
      </w:r>
      <w:r>
        <w:rPr>
          <w:rFonts w:ascii="Courier New" w:hAnsi="Courier New"/>
          <w:sz w:val="17"/>
        </w:rPr>
        <w:t xml:space="preserve">  linhasMedicacao: LinhaMedicacao[];</w:t>
        <w:br/>
      </w:r>
      <w:r>
        <w:rPr>
          <w:rFonts w:ascii="Courier New" w:hAnsi="Courier New"/>
          <w:sz w:val="17"/>
        </w:rPr>
        <w:t xml:space="preserve">  curvas: {</w:t>
        <w:br/>
      </w:r>
      <w:r>
        <w:rPr>
          <w:rFonts w:ascii="Courier New" w:hAnsi="Courier New"/>
          <w:sz w:val="17"/>
        </w:rPr>
        <w:t xml:space="preserve">    doenca: SerieTemporal[];</w:t>
        <w:br/>
      </w:r>
      <w:r>
        <w:rPr>
          <w:rFonts w:ascii="Courier New" w:hAnsi="Courier New"/>
          <w:sz w:val="17"/>
        </w:rPr>
        <w:t xml:space="preserve">    saude: SerieTemporal[];</w:t>
        <w:br/>
      </w:r>
      <w:r>
        <w:rPr>
          <w:rFonts w:ascii="Courier New" w:hAnsi="Courier New"/>
          <w:sz w:val="17"/>
        </w:rPr>
        <w:t xml:space="preserve">  };</w:t>
        <w:br/>
      </w:r>
      <w:r>
        <w:rPr>
          <w:rFonts w:ascii="Courier New" w:hAnsi="Courier New"/>
          <w:sz w:val="17"/>
        </w:rPr>
        <w:t xml:space="preserve">  cadernos: RasxCaderno[];</w:t>
        <w:br/>
      </w:r>
      <w:r>
        <w:rPr>
          <w:rFonts w:ascii="Courier New" w:hAnsi="Courier New"/>
          <w:sz w:val="17"/>
        </w:rPr>
        <w:t xml:space="preserve">  versao: "V5";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export interface EstadoSaudeSnapshot {</w:t>
        <w:br/>
      </w:r>
      <w:r>
        <w:rPr>
          <w:rFonts w:ascii="Courier New" w:hAnsi="Courier New"/>
          <w:sz w:val="17"/>
        </w:rPr>
        <w:t xml:space="preserve">  patologiasDiagnosticas: PatologiaItem[];</w:t>
        <w:br/>
      </w:r>
      <w:r>
        <w:rPr>
          <w:rFonts w:ascii="Courier New" w:hAnsi="Courier New"/>
          <w:sz w:val="17"/>
        </w:rPr>
        <w:t xml:space="preserve">  patologiasPotenciais: PatologiaPotencialItem[];</w:t>
        <w:br/>
      </w:r>
      <w:r>
        <w:rPr>
          <w:rFonts w:ascii="Courier New" w:hAnsi="Courier New"/>
          <w:sz w:val="17"/>
        </w:rPr>
        <w:t xml:space="preserve">  orgaosAfetados: OrgaoImpactado[];</w:t>
        <w:br/>
      </w:r>
      <w:r>
        <w:rPr>
          <w:rFonts w:ascii="Courier New" w:hAnsi="Courier New"/>
          <w:sz w:val="17"/>
        </w:rPr>
        <w:t xml:space="preserve">  medicamentosAtuais: MedicacaoAtualItem[];</w:t>
        <w:br/>
      </w:r>
      <w:r>
        <w:rPr>
          <w:rFonts w:ascii="Courier New" w:hAnsi="Courier New"/>
          <w:sz w:val="17"/>
        </w:rPr>
        <w:t xml:space="preserve">  substituicoesNaturais: SubstituicaoItem[];</w:t>
        <w:br/>
      </w:r>
      <w:r>
        <w:rPr>
          <w:rFonts w:ascii="Courier New" w:hAnsi="Courier New"/>
          <w:sz w:val="17"/>
        </w:rPr>
        <w:t xml:space="preserve">  scoreSistemico: SistemaScore[];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export interface MedicacaoAtualItem {</w:t>
        <w:br/>
      </w:r>
      <w:r>
        <w:rPr>
          <w:rFonts w:ascii="Courier New" w:hAnsi="Courier New"/>
          <w:sz w:val="17"/>
        </w:rPr>
        <w:t xml:space="preserve">  medicamento: string; // ex.: "Caprio 25 mg"</w:t>
        <w:br/>
      </w:r>
      <w:r>
        <w:rPr>
          <w:rFonts w:ascii="Courier New" w:hAnsi="Courier New"/>
          <w:sz w:val="17"/>
        </w:rPr>
        <w:t xml:space="preserve">  posologia: string;   // ex.: "1 comprimido 2x ao dia"</w:t>
        <w:br/>
      </w:r>
      <w:r>
        <w:rPr>
          <w:rFonts w:ascii="Courier New" w:hAnsi="Courier New"/>
          <w:sz w:val="17"/>
        </w:rPr>
        <w:t xml:space="preserve">  indicacaoClinica?: string;</w:t>
        <w:br/>
      </w:r>
      <w:r>
        <w:rPr>
          <w:rFonts w:ascii="Courier New" w:hAnsi="Courier New"/>
          <w:sz w:val="17"/>
        </w:rPr>
        <w:t xml:space="preserve">  dataInicioUso?: string;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export interface LinhaMedicacao {</w:t>
        <w:br/>
      </w:r>
      <w:r>
        <w:rPr>
          <w:rFonts w:ascii="Courier New" w:hAnsi="Courier New"/>
          <w:sz w:val="17"/>
        </w:rPr>
        <w:t xml:space="preserve">  medicamentoBase: string; // ex.: "Caprio"</w:t>
        <w:br/>
      </w:r>
      <w:r>
        <w:rPr>
          <w:rFonts w:ascii="Courier New" w:hAnsi="Courier New"/>
          <w:sz w:val="17"/>
        </w:rPr>
        <w:t xml:space="preserve">  eventos: {</w:t>
        <w:br/>
      </w:r>
      <w:r>
        <w:rPr>
          <w:rFonts w:ascii="Courier New" w:hAnsi="Courier New"/>
          <w:sz w:val="17"/>
        </w:rPr>
        <w:t xml:space="preserve">    data: string;</w:t>
        <w:br/>
      </w:r>
      <w:r>
        <w:rPr>
          <w:rFonts w:ascii="Courier New" w:hAnsi="Courier New"/>
          <w:sz w:val="17"/>
        </w:rPr>
        <w:t xml:space="preserve">    apresentacao: string; // ex.: "Caprio 50 mg"</w:t>
        <w:br/>
      </w:r>
      <w:r>
        <w:rPr>
          <w:rFonts w:ascii="Courier New" w:hAnsi="Courier New"/>
          <w:sz w:val="17"/>
        </w:rPr>
        <w:t xml:space="preserve">    posologia: string;</w:t>
        <w:br/>
      </w:r>
      <w:r>
        <w:rPr>
          <w:rFonts w:ascii="Courier New" w:hAnsi="Courier New"/>
          <w:sz w:val="17"/>
        </w:rPr>
        <w:t xml:space="preserve">    status: "ATIVO" | "REDUZIDO" | "SUSPENSO" | "SUBSTITUIDO";</w:t>
        <w:br/>
      </w:r>
      <w:r>
        <w:rPr>
          <w:rFonts w:ascii="Courier New" w:hAnsi="Courier New"/>
          <w:sz w:val="17"/>
        </w:rPr>
        <w:t xml:space="preserve">    substituicaoNatural?: string;</w:t>
        <w:br/>
      </w:r>
      <w:r>
        <w:rPr>
          <w:rFonts w:ascii="Courier New" w:hAnsi="Courier New"/>
          <w:sz w:val="17"/>
        </w:rPr>
        <w:t xml:space="preserve">    leituraClinica?: string;</w:t>
        <w:br/>
      </w:r>
      <w:r>
        <w:rPr>
          <w:rFonts w:ascii="Courier New" w:hAnsi="Courier New"/>
          <w:sz w:val="17"/>
        </w:rPr>
        <w:t xml:space="preserve">  }[];</w:t>
        <w:br/>
      </w:r>
      <w:r>
        <w:rPr>
          <w:rFonts w:ascii="Courier New" w:hAnsi="Courier New"/>
          <w:sz w:val="17"/>
        </w:rPr>
        <w:t>}</w:t>
        <w:br/>
      </w:r>
    </w:p>
    <w:p>
      <w:pPr>
        <w:pStyle w:val="Heading1"/>
        <w:spacing w:after="120"/>
      </w:pPr>
      <w:r>
        <w:rPr>
          <w:b w:val="0"/>
        </w:rPr>
        <w:t>12. Regras de banco e captura de dados</w:t>
      </w:r>
    </w:p>
    <w:p>
      <w:pPr>
        <w:pStyle w:val="ListBullet"/>
      </w:pPr>
      <w:r>
        <w:t>No questionário/anamnese, a medicação deve ser salva em um campo único de apresentação: medicamento + dosagem.</w:t>
      </w:r>
    </w:p>
    <w:p>
      <w:pPr>
        <w:pStyle w:val="ListBullet"/>
      </w:pPr>
      <w:r>
        <w:t>A posologia deve ser salva em campo separado.</w:t>
      </w:r>
    </w:p>
    <w:p>
      <w:pPr>
        <w:pStyle w:val="ListBullet"/>
      </w:pPr>
      <w:r>
        <w:t>O sistema deve registrar data de uso na consulta-base.</w:t>
      </w:r>
    </w:p>
    <w:p>
      <w:pPr>
        <w:pStyle w:val="ListBullet"/>
      </w:pPr>
      <w:r>
        <w:t>O sistema deve registrar data de redução quando a dose for alterada.</w:t>
      </w:r>
    </w:p>
    <w:p>
      <w:pPr>
        <w:pStyle w:val="ListBullet"/>
      </w:pPr>
      <w:r>
        <w:t>O sistema deve registrar data de suspensão quando o medicamento deixar de ser usado.</w:t>
      </w:r>
    </w:p>
    <w:p>
      <w:pPr>
        <w:pStyle w:val="ListBullet"/>
      </w:pPr>
      <w:r>
        <w:t>O sistema deve permitir múltiplos eventos cronológicos por medicamento base.</w:t>
      </w:r>
    </w:p>
    <w:p>
      <w:pPr>
        <w:pStyle w:val="ListBullet"/>
      </w:pPr>
      <w:r>
        <w:t>O RAS deve exibir essa história como linha temporal e não apenas como estado atual.</w:t>
      </w:r>
    </w:p>
    <w:p>
      <w:pPr>
        <w:pStyle w:val="ListBullet"/>
      </w:pPr>
      <w:r>
        <w:t>O Dr. Caio deve poder validar manualmente qualquer transição antes da publicação no PDF.</w:t>
      </w:r>
    </w:p>
    <w:p>
      <w:pPr>
        <w:pStyle w:val="Heading1"/>
        <w:spacing w:after="120"/>
      </w:pPr>
      <w:r>
        <w:rPr>
          <w:b w:val="0"/>
        </w:rPr>
        <w:t>13. Endpoints mínimos</w:t>
      </w:r>
    </w:p>
    <w:p>
      <w:pPr>
        <w:pStyle w:val="ListBullet"/>
      </w:pPr>
      <w:r>
        <w:t>POST /rasx/:pacienteId/arqu/start — cria snapshot inicial e cadernos base.</w:t>
      </w:r>
    </w:p>
    <w:p>
      <w:pPr>
        <w:pStyle w:val="ListBullet"/>
      </w:pPr>
      <w:r>
        <w:t>GET /rasx/:pacienteId/arqu/master — retorna manifesto completo do paciente.</w:t>
      </w:r>
    </w:p>
    <w:p>
      <w:pPr>
        <w:pStyle w:val="ListBullet"/>
      </w:pPr>
      <w:r>
        <w:t>GET /rasx/:pacienteId/arqu/documental — retorna composição do PDF final.</w:t>
      </w:r>
    </w:p>
    <w:p>
      <w:pPr>
        <w:pStyle w:val="ListBullet"/>
      </w:pPr>
      <w:r>
        <w:t>POST /rasx/:pacienteId/arqu/update — recalcula estado atual, curvas, linha de medicação e substituições.</w:t>
      </w:r>
    </w:p>
    <w:p>
      <w:pPr>
        <w:pStyle w:val="ListBullet"/>
      </w:pPr>
      <w:r>
        <w:t>GET /rasx/:pacienteId/arqu/pdf — gera PDF híbrido retrato/paisagem.</w:t>
      </w:r>
    </w:p>
    <w:p>
      <w:pPr>
        <w:pStyle w:val="ListBullet"/>
      </w:pPr>
      <w:r>
        <w:t>POST /rasx/:pacienteId/arqu/manual-override — validação humana do Dr. Caio.</w:t>
      </w:r>
    </w:p>
    <w:p>
      <w:pPr>
        <w:pStyle w:val="Heading1"/>
        <w:spacing w:after="120"/>
      </w:pPr>
      <w:r>
        <w:rPr>
          <w:b w:val="0"/>
        </w:rPr>
        <w:t>14. Pipeline de montagem do PDF</w:t>
      </w:r>
    </w:p>
    <w:p>
      <w:pPr>
        <w:pStyle w:val="ListBullet"/>
      </w:pPr>
      <w:r>
        <w:t>1. Buscar dados do paciente, protocolo, patologias, órgãos e medicamentos.</w:t>
      </w:r>
    </w:p>
    <w:p>
      <w:pPr>
        <w:pStyle w:val="ListBullet"/>
      </w:pPr>
      <w:r>
        <w:t>2. Montar snapshot inicial e snapshot atual.</w:t>
      </w:r>
    </w:p>
    <w:p>
      <w:pPr>
        <w:pStyle w:val="ListBullet"/>
      </w:pPr>
      <w:r>
        <w:t>3. Resolver cadernos obrigatórios conforme a presença de dados.</w:t>
      </w:r>
    </w:p>
    <w:p>
      <w:pPr>
        <w:pStyle w:val="ListBullet"/>
      </w:pPr>
      <w:r>
        <w:t>4. Gerar gráficos das curvas como imagens estáticas.</w:t>
      </w:r>
    </w:p>
    <w:p>
      <w:pPr>
        <w:pStyle w:val="ListBullet"/>
      </w:pPr>
      <w:r>
        <w:t>5. Renderizar páginas retrato e paisagem em HTML modular.</w:t>
      </w:r>
    </w:p>
    <w:p>
      <w:pPr>
        <w:pStyle w:val="ListBullet"/>
      </w:pPr>
      <w:r>
        <w:t>6. Montar o PDF híbrido em sequência lógica.</w:t>
      </w:r>
    </w:p>
    <w:p>
      <w:pPr>
        <w:pStyle w:val="ListBullet"/>
      </w:pPr>
      <w:r>
        <w:t>7. Gravar auditoria, versão, data de geração e hash documental.</w:t>
      </w:r>
    </w:p>
    <w:p>
      <w:pPr>
        <w:pStyle w:val="Heading1"/>
        <w:spacing w:after="120"/>
      </w:pPr>
      <w:r>
        <w:rPr>
          <w:b w:val="0"/>
        </w:rPr>
        <w:t>15. Regra de ouro para o Dr. Replit</w:t>
      </w:r>
    </w:p>
    <w:p>
      <w:pPr>
        <w:spacing w:after="80"/>
      </w:pPr>
      <w:r>
        <w:rPr>
          <w:b w:val="0"/>
        </w:rPr>
        <w:t>Não trate este RAS como um formulário. Trate-o como um documento clínico narrativo com grade lógica interna. O paciente deve sentir elegância; o Dr. Caio deve sentir controle; o sistema deve sentir previsibilidade.</w:t>
      </w:r>
    </w:p>
    <w:p>
      <w:pPr>
        <w:pStyle w:val="Heading1"/>
        <w:spacing w:after="120"/>
      </w:pPr>
      <w:r>
        <w:rPr>
          <w:b w:val="0"/>
        </w:rPr>
        <w:t>16. Encerramento</w:t>
      </w:r>
    </w:p>
    <w:p>
      <w:pPr>
        <w:spacing w:after="80"/>
      </w:pPr>
      <w:r>
        <w:rPr>
          <w:b w:val="0"/>
        </w:rPr>
        <w:t>Este manifesto define como o RASX MANI ARQU V5 (CHAT) deve nascer, ser orquestrado e ser codificado. O documento completo do paciente precisa ser simultaneamente clássico, funcional, robusto e visualmente caprichado. Esse valor visual não é ornamento; é parte da eficiência da informação, da comunicação visual e da percepção de excelência da clínica.</w:t>
      </w:r>
    </w:p>
    <w:sectPr w:rsidR="00FC693F" w:rsidRPr="0006063C" w:rsidSect="00034616"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