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9355D"/>
          <w:sz w:val="48"/>
        </w:rPr>
        <w:t>RASX MANI REVO V2 (CHAT)</w:t>
      </w:r>
    </w:p>
    <w:p>
      <w:r>
        <w:rPr>
          <w:color w:val="3C3C3C"/>
          <w:sz w:val="30"/>
        </w:rPr>
        <w:t>Manifesto de Arquitetura, Semântica, Layout e Orquestração do RAS Evolutivo Integrativo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3"/>
        <w:gridCol w:w="3458"/>
      </w:tblGrid>
      <w:tr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shd w:fill="F7F6F2"/>
          </w:tcPr>
          <w:p>
            <w:r>
              <w:rPr>
                <w:b/>
                <w:color w:val="1F3A5F"/>
                <w:sz w:val="24"/>
              </w:rPr>
              <w:t>Propósito</w:t>
              <w:br/>
            </w:r>
            <w:r>
              <w:rPr>
                <w:sz w:val="22"/>
              </w:rPr>
              <w:t>Este arquivo orienta o Dr. Claude na orquestração clínica e semântica e o Dr. Replit na implementação em TypeScript do RAS Evolutivo Integrativo, mantendo elegância visual, clareza TDAH/TOC friendly e lógica documental robusta.</w:t>
            </w:r>
          </w:p>
          <w:p>
            <w:r>
              <w:rPr>
                <w:b/>
                <w:color w:val="1F3A5F"/>
                <w:sz w:val="24"/>
              </w:rPr>
              <w:t>Princípio-mestre</w:t>
              <w:br/>
            </w:r>
            <w:r>
              <w:rPr>
                <w:sz w:val="22"/>
              </w:rPr>
              <w:t>O documental é o RAS completo, contendo páginas A4 em retrato e paisagem no mesmo arquivo, para visualização fluida no celular: o paciente gira o aparelho e continua lendo sem quebra de lógica.</w:t>
            </w:r>
          </w:p>
        </w:tc>
        <w:tc>
          <w:tcPr>
            <w:tcW w:type="dxa" w:w="3458"/>
            <w:tcMar>
              <w:top w:w="120" w:type="dxa"/>
              <w:start w:w="120" w:type="dxa"/>
              <w:bottom w:w="120" w:type="dxa"/>
              <w:end w:w="120" w:type="dxa"/>
            </w:tcMar>
            <w:shd w:fill="F2F4F7"/>
          </w:tcPr>
          <w:p>
            <w:r>
              <w:rPr>
                <w:b/>
                <w:color w:val="1F3A5F"/>
                <w:sz w:val="24"/>
              </w:rPr>
              <w:t>Famílias semânticas</w:t>
              <w:br/>
            </w:r>
          </w:p>
          <w:p>
            <w:pPr>
              <w:ind w:left="113"/>
            </w:pPr>
            <w:r>
              <w:t>• RACL = RAS Caderno Clínico</w:t>
            </w:r>
          </w:p>
          <w:p>
            <w:pPr>
              <w:ind w:left="113"/>
            </w:pPr>
            <w:r>
              <w:t>• RACJ = RAS Caderno Jurídico</w:t>
            </w:r>
          </w:p>
          <w:p>
            <w:pPr>
              <w:ind w:left="113"/>
            </w:pPr>
            <w:r>
              <w:t>• RASX = Documento completo do paciente</w:t>
            </w:r>
          </w:p>
          <w:p>
            <w:pPr>
              <w:ind w:left="113"/>
            </w:pPr>
            <w:r>
              <w:t>• REVO = Núcleo evolutivo de saúde</w:t>
            </w:r>
          </w:p>
          <w:p>
            <w:r>
              <w:rPr>
                <w:b/>
                <w:color w:val="1F3A5F"/>
                <w:sz w:val="24"/>
              </w:rPr>
              <w:t>Paleta e estética</w:t>
              <w:br/>
            </w:r>
            <w:r>
              <w:rPr>
                <w:sz w:val="22"/>
              </w:rPr>
              <w:t>Azul petróleo, off-white, dourado queimado e verde sálvia. Logo do Instituto Pádua no cabeçalho superior direito, sempre respirando com margem ampla.</w:t>
            </w:r>
          </w:p>
        </w:tc>
      </w:tr>
    </w:tbl>
    <w:p/>
    <w:p>
      <w:pPr>
        <w:jc w:val="left"/>
      </w:pPr>
      <w:r>
        <w:rPr>
          <w:b/>
          <w:color w:val="1F3A5F"/>
          <w:sz w:val="32"/>
        </w:rPr>
        <w:t>1. Visão forense e clínica do RAS Evolutivo</w:t>
      </w:r>
    </w:p>
    <w:p>
      <w:r>
        <w:t>Este RAS não é apenas registro de substâncias. Ele é um espelho cronológico do terreno biológico do paciente: como ele iniciou, quais patologias estavam presentes, quais estavam em risco de emergir, quais órgãos estavam sob maior pressão e como a intervenção integrativa alterou a curva clínica ao longo do tempo.</w:t>
      </w:r>
    </w:p>
    <w:p>
      <w:r>
        <w:t>Na medicina integrativa, a retirada de medicamentos não é premissa; é consequência. A redução só acontece quando a patologia diagnosticada apresenta melhora clínica, laboratorial e funcional suficiente para sustentar a transição com segurança. Por isso, o RAS precisa mostrar a história inteira: doença, órgão, prognóstico, medicação, transição e evolução.</w:t>
      </w:r>
    </w:p>
    <w:p>
      <w:r>
        <w:t>Este modelo cria duas curvas visíveis e concatenadas: uma curva declinante para sinais, doenças e dependência medicamentosa; e uma curva ascendente para saúde funcional, bem-estar, resposta orgânica, sono, atividade física, suplementação, reposições e substâncias de suporte.</w:t>
      </w:r>
    </w:p>
    <w:p>
      <w:r>
        <w:rPr>
          <w:b/>
          <w:color w:val="7A4A6A"/>
          <w:sz w:val="26"/>
        </w:rPr>
        <w:t>Texto-base institucional para entrar no PDF do paciente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7F6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i/>
              </w:rPr>
              <w:t>“Nós não somos apenas o que comemos; somos o que absorvemos, metabolizamos e utilizamos. Com a idade, com a inflamação e com o estresse biológico crônico, a absorção cai, a produção hormonal diminui e o organismo passa a sustentar sintomas e doenças de forma progressiva. Por isso, este relatório acompanha não apenas doenças e medicamentos, mas a recuperação do terreno biológico, dos órgãos, do sono, da energia, da cognição e da capacidade funcional do paciente.”</w:t>
            </w:r>
          </w:p>
        </w:tc>
      </w:tr>
    </w:tbl>
    <w:p>
      <w:r>
        <w:rPr>
          <w:b/>
          <w:color w:val="1F3A5F"/>
          <w:sz w:val="32"/>
        </w:rPr>
        <w:t>2. Estrutura documental do RASX REVO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2551"/>
        <w:gridCol w:w="3061"/>
        <w:gridCol w:w="2324"/>
      </w:tblGrid>
      <w:tr>
        <w:tc>
          <w:tcPr>
            <w:tcW w:type="dxa" w:w="2578"/>
            <w:shd w:fill="1F3A5F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578"/>
            <w:shd w:fill="1F3A5F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Caderno / sessão</w:t>
            </w:r>
          </w:p>
        </w:tc>
        <w:tc>
          <w:tcPr>
            <w:tcW w:type="dxa" w:w="2578"/>
            <w:shd w:fill="1F3A5F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578"/>
            <w:shd w:fill="1F3A5F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Orientação A4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EAF0F7"/>
            <w:vAlign w:val="center"/>
          </w:tcPr>
          <w:p>
            <w:r>
              <w:t>RACL HEST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Estado inicial de saúde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Snapshot do início do tratamento: patologias, órgãos, risco, medicamentos e contexto funcional.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7F6F2"/>
            <w:vAlign w:val="center"/>
          </w:tcPr>
          <w:p>
            <w:r>
              <w:t>Retrato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EAF0F7"/>
            <w:vAlign w:val="center"/>
          </w:tcPr>
          <w:p>
            <w:r>
              <w:t>RACL HPOT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Patologias potenciais e risco de progressão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Mapa de desenvolvimento provável, baseado em questionário, exames e terreno biológico.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7F6F2"/>
            <w:vAlign w:val="center"/>
          </w:tcPr>
          <w:p>
            <w:r>
              <w:t>Retrato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EAF0F7"/>
            <w:vAlign w:val="center"/>
          </w:tcPr>
          <w:p>
            <w:r>
              <w:t>RACL HORG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Órgãos e sistemas afetados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Correlação patologia → órgão → intensidade → risco prognóstico.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7F6F2"/>
            <w:vAlign w:val="center"/>
          </w:tcPr>
          <w:p>
            <w:r>
              <w:t>Paisagem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EAF0F7"/>
            <w:vAlign w:val="center"/>
          </w:tcPr>
          <w:p>
            <w:r>
              <w:t>RACL HMED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Medicamentos em uso e dependência terapêutica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Lista de remédios, dose, motivo de uso, tempo de uso e critério de futura redução.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7F6F2"/>
            <w:vAlign w:val="center"/>
          </w:tcPr>
          <w:p>
            <w:r>
              <w:t>Paisagem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EAF0F7"/>
            <w:vAlign w:val="center"/>
          </w:tcPr>
          <w:p>
            <w:r>
              <w:t>RACL HTRN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Transição terapêutica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Tabela de substituição: remédio retirado/reduzido x fórmula natural x evidência de melhora.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7F6F2"/>
            <w:vAlign w:val="center"/>
          </w:tcPr>
          <w:p>
            <w:r>
              <w:t>Paisagem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EAF0F7"/>
            <w:vAlign w:val="center"/>
          </w:tcPr>
          <w:p>
            <w:r>
              <w:t>RACL HEVO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Evolução clínica comparativa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Antes → transição → atual, com percentuais, setas e semáforos.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7F6F2"/>
            <w:vAlign w:val="center"/>
          </w:tcPr>
          <w:p>
            <w:r>
              <w:t>Paisagem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EAF0F7"/>
            <w:vAlign w:val="center"/>
          </w:tcPr>
          <w:p>
            <w:r>
              <w:t>RACL HCUR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Curvas declinante e ascendente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Doença/remédios descendo; saúde/órgãos/suplementação subindo.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7F6F2"/>
            <w:vAlign w:val="center"/>
          </w:tcPr>
          <w:p>
            <w:r>
              <w:t>Paisagem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EAF0F7"/>
            <w:vAlign w:val="center"/>
          </w:tcPr>
          <w:p>
            <w:r>
              <w:t>RACL HATU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Estado atual de saúde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Resumo consolidado da condição clínica atual.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7F6F2"/>
            <w:vAlign w:val="center"/>
          </w:tcPr>
          <w:p>
            <w:r>
              <w:t>Retrato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EAF0F7"/>
            <w:vAlign w:val="center"/>
          </w:tcPr>
          <w:p>
            <w:r>
              <w:t>RACL HPLA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Próxima etapa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Próximos exames, metas, lembretes e pontos de atenção.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7F6F2"/>
            <w:vAlign w:val="center"/>
          </w:tcPr>
          <w:p>
            <w:r>
              <w:t>Retrato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EAF0F7"/>
            <w:vAlign w:val="center"/>
          </w:tcPr>
          <w:p>
            <w:r>
              <w:t>RACL HTEC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Referência técnica interna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Campos dinâmicos, placeholders, regras de cálculo e leitura da equipe.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7F6F2"/>
            <w:vAlign w:val="center"/>
          </w:tcPr>
          <w:p>
            <w:r>
              <w:t>Retrato</w:t>
            </w:r>
          </w:p>
        </w:tc>
      </w:tr>
    </w:tbl>
    <w:p>
      <w:r>
        <w:rPr>
          <w:b/>
          <w:color w:val="1F3A5F"/>
          <w:sz w:val="32"/>
        </w:rPr>
        <w:t>3. Layout, placeholders e linguagem visual</w:t>
      </w:r>
    </w:p>
    <w:p>
      <w:r>
        <w:t>O layout deve seguir o refinamento visual do RAS Evolutivo manus: capa limpa, títulos grandes, áreas de respiro, status com bolinhas, progresso visual e páginas com leitura modular. No modelo visual do manus, a capa abre com identificação, protocolo, sessão, médico e mensagem de acolhimento; depois vêm resumo da sessão, status da última semana, matriz de acompanhamento, impacto evolutivo, próxima etapa e referência técnica interna. Esse encadeamento é a base ideal para o REVO. fileciteturn11file0</w:t>
      </w:r>
    </w:p>
    <w:p>
      <w:r>
        <w:t>O modelo V2 do Replit reforça o eixo operacional: página 1 com matriz de aplicações por data e substância, página 6 com matriz funcional por substância e página 8 com impacto por sistema corporal. Essas três lógicas devem ser fundidas ao REVO: uma camada documental, uma camada funcional e uma camada comparativa. fileciteturn11file1turn10file3</w:t>
      </w:r>
    </w:p>
    <w:p>
      <w:r>
        <w:t>Placeholders devem ser invisíveis para o paciente e previsíveis para o sistema. Cada bloco do PDF precisa ter uma caixa lógica reservada, mesmo quando vazia, para manter alinhamento perfeito e evitar “pulos” visuais. Esse alinhamento é requisito de comunicação visual e de conforto cognitivo.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3855"/>
        <w:gridCol w:w="3288"/>
      </w:tblGrid>
      <w:tr>
        <w:tc>
          <w:tcPr>
            <w:tcW w:type="dxa" w:w="3437"/>
            <w:shd w:fill="1F3A5F"/>
          </w:tcPr>
          <w:p>
            <w:r>
              <w:rPr>
                <w:b/>
                <w:color w:val="FFFFFF"/>
              </w:rPr>
              <w:t>Zona visual</w:t>
            </w:r>
          </w:p>
        </w:tc>
        <w:tc>
          <w:tcPr>
            <w:tcW w:type="dxa" w:w="3437"/>
            <w:shd w:fill="1F3A5F"/>
          </w:tcPr>
          <w:p>
            <w:r>
              <w:rPr>
                <w:b/>
                <w:color w:val="FFFFFF"/>
              </w:rPr>
              <w:t>Placeholder</w:t>
            </w:r>
          </w:p>
        </w:tc>
        <w:tc>
          <w:tcPr>
            <w:tcW w:type="dxa" w:w="3437"/>
            <w:shd w:fill="1F3A5F"/>
          </w:tcPr>
          <w:p>
            <w:r>
              <w:rPr>
                <w:b/>
                <w:color w:val="FFFFFF"/>
              </w:rPr>
              <w:t>Instrução para o sistema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Cabeçalho superior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{{logoInstituto}} | {{tituloCaderno}} | {{codigoProtocolo}}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Logo à direita, título à esquerda, sempre em linha limpa.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Bloco paciente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{{nomePaciente}} | {{idade}} | {{dataBase}} | {{medico}}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Quatro linhas verticais ou duas linhas de pares; sem centralização excessiva.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Tabela TDH-friendly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{{matrizEstadoInicial}} / {{matrizEvolucao}}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Linhas largas, colunas de leitura rápida, sem grid pesado desnecessário.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Semáforos e status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{{statusClinico}} | {{adesao}} | {{risco}}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Bolinhas ou cápsulas pequenas com legenda textual obrigatória.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Curvas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{{curvaDoenca}} | {{curvaSaude}}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Área fixa em paisagem; eixos simples; leitura imediata.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Rodapé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{{versao}} | {{dataGeracao}} | {{motorClinico}}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Sempre padronizado e discreto.</w:t>
            </w:r>
          </w:p>
        </w:tc>
      </w:tr>
    </w:tbl>
    <w:p>
      <w:r>
        <w:rPr>
          <w:b/>
          <w:color w:val="1F3A5F"/>
          <w:sz w:val="32"/>
        </w:rPr>
        <w:t>4. Regras TDAH/TOC friendly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5156"/>
            <w:shd w:fill="D9DBD1"/>
          </w:tcPr>
          <w:p>
            <w:r>
              <w:rPr>
                <w:b/>
              </w:rPr>
              <w:t>Deve existir</w:t>
            </w:r>
          </w:p>
        </w:tc>
        <w:tc>
          <w:tcPr>
            <w:tcW w:type="dxa" w:w="5156"/>
            <w:shd w:fill="F3DAD6"/>
          </w:tcPr>
          <w:p>
            <w:r>
              <w:rPr>
                <w:b/>
              </w:rPr>
              <w:t>Não deve acontecer</w:t>
            </w:r>
          </w:p>
        </w:tc>
      </w:tr>
      <w:tr>
        <w:tc>
          <w:tcPr>
            <w:tcW w:type="dxa" w:w="48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• Alinhamento vertical claro, um bloco abaixo do outro.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• Quebra de alinhamento entre títulos, tabelas e observações.</w:t>
            </w:r>
          </w:p>
        </w:tc>
      </w:tr>
      <w:tr>
        <w:tc>
          <w:tcPr>
            <w:tcW w:type="dxa" w:w="48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• Legendas explicativas sempre presentes.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• Tabelas com colunas de mesma largura sem lógica de conteúdo.</w:t>
            </w:r>
          </w:p>
        </w:tc>
      </w:tr>
      <w:tr>
        <w:tc>
          <w:tcPr>
            <w:tcW w:type="dxa" w:w="48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• Colunas invisíveis com larguras estáveis.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• Blocos espremidos ou cheios demais.</w:t>
            </w:r>
          </w:p>
        </w:tc>
      </w:tr>
      <w:tr>
        <w:tc>
          <w:tcPr>
            <w:tcW w:type="dxa" w:w="48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• Contraste visual entre informação primária e secundária.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• Símbolos sem legenda.</w:t>
            </w:r>
          </w:p>
        </w:tc>
      </w:tr>
      <w:tr>
        <w:tc>
          <w:tcPr>
            <w:tcW w:type="dxa" w:w="48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• Poucos tons, repetidos com disciplina.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• Parágrafos longos seguidos sem ancoragem visual.</w:t>
            </w:r>
          </w:p>
        </w:tc>
      </w:tr>
      <w:tr>
        <w:tc>
          <w:tcPr>
            <w:tcW w:type="dxa" w:w="48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• Quebras de página deliberadas.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• Campos que somem e deslocam todo o layout quando vazios.</w:t>
            </w:r>
          </w:p>
        </w:tc>
      </w:tr>
      <w:tr>
        <w:tc>
          <w:tcPr>
            <w:tcW w:type="dxa" w:w="48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• Textos curtos nas áreas-resumo e textos densos apenas onde necessário.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• PDF com visual de planilha em vez de documento clínico premium.</w:t>
            </w:r>
          </w:p>
        </w:tc>
      </w:tr>
    </w:tbl>
    <w:p>
      <w:pPr>
        <w:sectPr>
          <w:pgSz w:w="12240" w:h="15840"/>
          <w:pgMar w:top="907" w:right="964" w:bottom="794" w:left="964" w:header="720" w:footer="720" w:gutter="0"/>
          <w:cols w:space="720"/>
          <w:docGrid w:linePitch="360"/>
        </w:sectPr>
      </w:pPr>
    </w:p>
    <w:p>
      <w:r>
        <w:rPr>
          <w:b/>
          <w:color w:val="1F3A5F"/>
          <w:sz w:val="32"/>
        </w:rPr>
        <w:t>5. Modelo de sessão/caderno em modo paisagem (documental comparativo)</w:t>
      </w:r>
    </w:p>
    <w:p>
      <w:r>
        <w:t>Este é o coração visual do RASX REVO. O paciente gira o celular e lê uma matriz comparativa única, sem perder o fio clínico.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1701"/>
        <w:gridCol w:w="2268"/>
        <w:gridCol w:w="2268"/>
        <w:gridCol w:w="2721"/>
      </w:tblGrid>
      <w:tr>
        <w:tc>
          <w:tcPr>
            <w:tcW w:type="dxa" w:w="2052"/>
            <w:shd w:fill="1F3A5F"/>
          </w:tcPr>
          <w:p>
            <w:r>
              <w:rPr>
                <w:b/>
                <w:color w:val="FFFFFF"/>
              </w:rPr>
              <w:t>Patologia / sinal</w:t>
            </w:r>
          </w:p>
        </w:tc>
        <w:tc>
          <w:tcPr>
            <w:tcW w:type="dxa" w:w="2052"/>
            <w:shd w:fill="1F3A5F"/>
          </w:tcPr>
          <w:p>
            <w:r>
              <w:rPr>
                <w:b/>
                <w:color w:val="FFFFFF"/>
              </w:rPr>
              <w:t>Órgão / sistema</w:t>
            </w:r>
          </w:p>
        </w:tc>
        <w:tc>
          <w:tcPr>
            <w:tcW w:type="dxa" w:w="2052"/>
            <w:shd w:fill="1F3A5F"/>
          </w:tcPr>
          <w:p>
            <w:r>
              <w:rPr>
                <w:b/>
                <w:color w:val="FFFFFF"/>
              </w:rPr>
              <w:t>Estado inicial</w:t>
            </w:r>
          </w:p>
        </w:tc>
        <w:tc>
          <w:tcPr>
            <w:tcW w:type="dxa" w:w="2052"/>
            <w:shd w:fill="1F3A5F"/>
          </w:tcPr>
          <w:p>
            <w:r>
              <w:rPr>
                <w:b/>
                <w:color w:val="FFFFFF"/>
              </w:rPr>
              <w:t>Transição</w:t>
            </w:r>
          </w:p>
        </w:tc>
        <w:tc>
          <w:tcPr>
            <w:tcW w:type="dxa" w:w="2052"/>
            <w:shd w:fill="1F3A5F"/>
          </w:tcPr>
          <w:p>
            <w:r>
              <w:rPr>
                <w:b/>
                <w:color w:val="FFFFFF"/>
              </w:rPr>
              <w:t>Estado atual</w:t>
            </w:r>
          </w:p>
        </w:tc>
        <w:tc>
          <w:tcPr>
            <w:tcW w:type="dxa" w:w="2052"/>
            <w:shd w:fill="1F3A5F"/>
          </w:tcPr>
          <w:p>
            <w:r>
              <w:rPr>
                <w:b/>
                <w:color w:val="FFFFFF"/>
              </w:rPr>
              <w:t>Medicação / substituição</w:t>
            </w:r>
          </w:p>
        </w:tc>
        <w:tc>
          <w:tcPr>
            <w:tcW w:type="dxa" w:w="2052"/>
            <w:shd w:fill="1F3A5F"/>
          </w:tcPr>
          <w:p>
            <w:r>
              <w:rPr>
                <w:b/>
                <w:color w:val="FFFFFF"/>
              </w:rPr>
              <w:t>Leitura clínica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Resistência à insulina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Metabólico / pâncreas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Alta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Melhora gradual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Baixa / controlada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Metformina → Berberina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Retirada só após estabilidade clínica e laboratorial.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Hipertensão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Cardiovascular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Moderada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Ajuste + estilo de vida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Leve / monitorada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Losartana ↓ | magnésio + ômega-3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Redução parcial, não retirada abrupta.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Sono ruim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Neuroendócrino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Baixo reparo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Rotina + melatonina + higiene do sono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Sono funcional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Hipnótico eventual → suspenso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Curva de bem-estar ascendente.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Inflamação intestinal / má absorção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Gastrointestinal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Ativa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Estratégia anti-inflamatória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Melhora de absorção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IBP / sintomáticos ↓ | glutamina / enzimas / probióticos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Base para responder melhor às reposições.</w:t>
            </w:r>
          </w:p>
        </w:tc>
      </w:tr>
    </w:tbl>
    <w:p>
      <w:r>
        <w:rPr>
          <w:b/>
          <w:color w:val="1F3A5F"/>
          <w:sz w:val="32"/>
        </w:rPr>
        <w:t>6. Curvas obrigatórias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183"/>
            <w:shd w:fill="F7E4DF"/>
          </w:tcPr>
          <w:p>
            <w:r>
              <w:rPr>
                <w:b/>
              </w:rPr>
              <w:t>Curva declinante</w:t>
              <w:br/>
              <w:t>• doenças</w:t>
              <w:br/>
              <w:t>• sinais inflamatórios</w:t>
              <w:br/>
              <w:t>• dependência medicamentosa</w:t>
              <w:br/>
              <w:t>• intensidade sintomática</w:t>
            </w:r>
          </w:p>
        </w:tc>
        <w:tc>
          <w:tcPr>
            <w:tcW w:type="dxa" w:w="7183"/>
            <w:shd w:fill="E5F2EE"/>
          </w:tcPr>
          <w:p>
            <w:r>
              <w:rPr>
                <w:b/>
              </w:rPr>
              <w:t>Curva ascendente</w:t>
              <w:br/>
              <w:t>• saúde funcional</w:t>
              <w:br/>
              <w:t>• resposta orgânica</w:t>
              <w:br/>
              <w:t>• estilo de vida</w:t>
              <w:br/>
              <w:t>• suplementação / reposição</w:t>
              <w:br/>
              <w:t>• bem-estar e vitalidade</w:t>
            </w:r>
          </w:p>
        </w:tc>
      </w:tr>
    </w:tbl>
    <w:p>
      <w:pPr>
        <w:sectPr>
          <w:pgSz w:w="15840" w:h="12240" w:orient="landscape"/>
          <w:pgMar w:top="737" w:right="737" w:bottom="680" w:left="737" w:header="720" w:footer="720" w:gutter="0"/>
          <w:cols w:space="720"/>
          <w:docGrid w:linePitch="360"/>
        </w:sectPr>
      </w:pPr>
    </w:p>
    <w:p>
      <w:r>
        <w:rPr>
          <w:b/>
          <w:color w:val="1F3A5F"/>
          <w:sz w:val="32"/>
        </w:rPr>
        <w:t>7. Orquestração: papel do Dr. Claude e do Dr. Replit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8"/>
        <w:gridCol w:w="3288"/>
        <w:gridCol w:w="3515"/>
      </w:tblGrid>
      <w:tr>
        <w:tc>
          <w:tcPr>
            <w:tcW w:type="dxa" w:w="3437"/>
            <w:shd w:fill="1F3A5F"/>
          </w:tcPr>
          <w:p>
            <w:r>
              <w:rPr>
                <w:b/>
                <w:color w:val="FFFFFF"/>
              </w:rPr>
              <w:t>Agente</w:t>
            </w:r>
          </w:p>
        </w:tc>
        <w:tc>
          <w:tcPr>
            <w:tcW w:type="dxa" w:w="3437"/>
            <w:shd w:fill="1F3A5F"/>
          </w:tcPr>
          <w:p>
            <w:r>
              <w:rPr>
                <w:b/>
                <w:color w:val="FFFFFF"/>
              </w:rPr>
              <w:t>Responsabilidade</w:t>
            </w:r>
          </w:p>
        </w:tc>
        <w:tc>
          <w:tcPr>
            <w:tcW w:type="dxa" w:w="3437"/>
            <w:shd w:fill="1F3A5F"/>
          </w:tcPr>
          <w:p>
            <w:r>
              <w:rPr>
                <w:b/>
                <w:color w:val="FFFFFF"/>
              </w:rPr>
              <w:t>Entrega esperada</w:t>
            </w:r>
          </w:p>
        </w:tc>
      </w:tr>
      <w:tr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Dr. Chat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Analista forense e compilador semântico. Define o significado clínico, a arquitetura do RAS, as pistas de layout e a gramática visual.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Manifesto, semântica, layout, regras de leitura e estrutura de placeholders.</w:t>
            </w:r>
          </w:p>
        </w:tc>
      </w:tr>
      <w:tr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Dr. Claude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Orquestrador clínico-semântico. Converte o manifesto em plano de implementação, correlaciona entidades, fluxos, endpoints e regras.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Spec refinada para construção, decisões de arquitetura e priorização.</w:t>
            </w:r>
          </w:p>
        </w:tc>
      </w:tr>
      <w:tr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Dr. Replit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Cirurgião-juiz técnico. Codifica em TypeScript, modela schemas, serviços, rotas, renderização e persistência documental.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Código funcional, motor de geração e integração com o sistema.</w:t>
            </w:r>
          </w:p>
        </w:tc>
      </w:tr>
    </w:tbl>
    <w:p>
      <w:r>
        <w:rPr>
          <w:b/>
          <w:color w:val="1F3A5F"/>
          <w:sz w:val="32"/>
        </w:rPr>
        <w:t>8. Ferramentas e stack TypeScript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665"/>
        <w:gridCol w:w="2835"/>
        <w:gridCol w:w="2494"/>
      </w:tblGrid>
      <w:tr>
        <w:tc>
          <w:tcPr>
            <w:tcW w:type="dxa" w:w="2578"/>
            <w:shd w:fill="1F3A5F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2578"/>
            <w:shd w:fill="1F3A5F"/>
          </w:tcPr>
          <w:p>
            <w:r>
              <w:rPr>
                <w:b/>
                <w:color w:val="FFFFFF"/>
              </w:rPr>
              <w:t>Ferramenta</w:t>
            </w:r>
          </w:p>
        </w:tc>
        <w:tc>
          <w:tcPr>
            <w:tcW w:type="dxa" w:w="2578"/>
            <w:shd w:fill="1F3A5F"/>
          </w:tcPr>
          <w:p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2578"/>
            <w:shd w:fill="1F3A5F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Backend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TypeScript + Node.js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Serviços, regras de negócio e geração da árvore documental.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Base principal do motor clínico.</w:t>
            </w:r>
          </w:p>
        </w:tc>
      </w:tr>
      <w:t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Schema/ORM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Drizzle ORM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Tabelas, migrações, enums e JSONB.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Combina com o padrão já usado no sistema.</w:t>
            </w:r>
          </w:p>
        </w:tc>
      </w:tr>
      <w:t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API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Express ou Fastify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Endpoints do REVO e do RASX.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Manter rotas pequenas e auditáveis.</w:t>
            </w:r>
          </w:p>
        </w:tc>
      </w:tr>
      <w:t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PDF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pdf-lib ou Puppeteer HTML-to-PDF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Renderização do RAS final do paciente.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Puppeteer ajuda mais em layout híbrido retrato/paisagem.</w:t>
            </w:r>
          </w:p>
        </w:tc>
      </w:tr>
      <w:t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Gráficos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Chart.js ou ECharts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Curva declinante/ascendente e comparativos.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Renderizar como imagem antes de montar o PDF.</w:t>
            </w:r>
          </w:p>
        </w:tc>
      </w:tr>
      <w:t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Validação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Zod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Validação dos payloads e snapshots.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Importante para previsibilidade semântica.</w:t>
            </w:r>
          </w:p>
        </w:tc>
      </w:tr>
      <w:t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Fila assíncrona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BullMQ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Regeração de PDF, atualização de curvas, OCR e relatórios.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Evita travar requests longos.</w:t>
            </w:r>
          </w:p>
        </w:tc>
      </w:tr>
      <w:t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Auditoria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audit_log + JSONB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Histórico de mudança de classificação e substituição terapêutica.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Essencial para governança e LGPD clínica.</w:t>
            </w:r>
          </w:p>
        </w:tc>
      </w:tr>
    </w:tbl>
    <w:p>
      <w:r>
        <w:rPr>
          <w:b/>
          <w:color w:val="1F3A5F"/>
          <w:sz w:val="32"/>
        </w:rPr>
        <w:t>9. Modelagem TypeScript sugerida</w:t>
      </w:r>
    </w:p>
    <w:p>
      <w:r>
        <w:rPr>
          <w:rFonts w:ascii="Courier New" w:hAnsi="Courier New"/>
          <w:sz w:val="19"/>
        </w:rPr>
        <w:br/>
        <w:t>interface RasxRevoMaster {</w:t>
        <w:br/>
        <w:t xml:space="preserve">  patientId: number;</w:t>
        <w:br/>
        <w:t xml:space="preserve">  protocolId: number;</w:t>
        <w:br/>
        <w:t xml:space="preserve">  snapshotInicial: EstadoSaudeSnapshot;</w:t>
        <w:br/>
        <w:t xml:space="preserve">  snapshotAtual: EstadoSaudeSnapshot;</w:t>
        <w:br/>
        <w:t xml:space="preserve">  curvas: {</w:t>
        <w:br/>
        <w:t xml:space="preserve">    doenca: SerieTemporal[];</w:t>
        <w:br/>
        <w:t xml:space="preserve">    saude: SerieTemporal[];</w:t>
        <w:br/>
        <w:t xml:space="preserve">  };</w:t>
        <w:br/>
        <w:t xml:space="preserve">  cadernos: RasxCaderno[];</w:t>
        <w:br/>
        <w:t xml:space="preserve">  versao: "V2";</w:t>
        <w:br/>
        <w:t>}</w:t>
        <w:br/>
        <w:br/>
        <w:t>interface EstadoSaudeSnapshot {</w:t>
        <w:br/>
        <w:t xml:space="preserve">  patologiasDiagnosticas: PatologiaItem[];</w:t>
        <w:br/>
        <w:t xml:space="preserve">  patologiasPotenciais: PatologiaPotencialItem[];</w:t>
        <w:br/>
        <w:t xml:space="preserve">  orgaosAfetados: OrgaoImpactado[];</w:t>
        <w:br/>
        <w:t xml:space="preserve">  medicamentos: MedicacaoItem[];</w:t>
        <w:br/>
        <w:t xml:space="preserve">  substituicoesNaturais: SubstituicaoItem[];</w:t>
        <w:br/>
        <w:t xml:space="preserve">  scoreSistemico: SistemaScore[];</w:t>
        <w:br/>
        <w:t>}</w:t>
        <w:br/>
      </w:r>
    </w:p>
    <w:p>
      <w:r>
        <w:rPr>
          <w:b/>
          <w:color w:val="1F3A5F"/>
          <w:sz w:val="32"/>
        </w:rPr>
        <w:t>10. Endpoints mínimos</w:t>
      </w:r>
    </w:p>
    <w:p>
      <w:r>
        <w:t>• POST /rasx/:pacienteId/revo/start — cria snapshot inicial e cadernos base.</w:t>
      </w:r>
    </w:p>
    <w:p>
      <w:r>
        <w:t>• GET /rasx/:pacienteId/revo/master — retorna manifesto completo do paciente.</w:t>
      </w:r>
    </w:p>
    <w:p>
      <w:r>
        <w:t>• GET /rasx/:pacienteId/revo/documental — retorna composição do PDF final.</w:t>
      </w:r>
    </w:p>
    <w:p>
      <w:r>
        <w:t>• POST /rasx/:pacienteId/revo/update — recalcula estado atual, curvas e substituições.</w:t>
      </w:r>
    </w:p>
    <w:p>
      <w:r>
        <w:t>• GET /rasx/:pacienteId/revo/pdf — gera PDF híbrido retrato/paisagem.</w:t>
      </w:r>
    </w:p>
    <w:p>
      <w:r>
        <w:t>• POST /rasx/:pacienteId/revo/manual-override — permite validação humana do Dr. Caio.</w:t>
      </w:r>
    </w:p>
    <w:p>
      <w:r>
        <w:rPr>
          <w:b/>
          <w:color w:val="1F3A5F"/>
          <w:sz w:val="32"/>
        </w:rPr>
        <w:t>11. Regra de ouro para o Dr. Replit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0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Não trate este RAS como um formulário. Trate-o como um documento clínico narrativo com grade lógica interna. O paciente deve sentir elegância; o Dr. Caio deve sentir controle; o sistema deve sentir previsibilidade.</w:t>
            </w:r>
          </w:p>
        </w:tc>
      </w:tr>
    </w:tbl>
    <w:p>
      <w:r>
        <w:rPr>
          <w:b/>
          <w:color w:val="1F3A5F"/>
          <w:sz w:val="32"/>
        </w:rPr>
        <w:t>12. Encerramento</w:t>
      </w:r>
    </w:p>
    <w:p>
      <w:r>
        <w:t>Este manifesto define como o RASX MANI REVO V2 (CHAT) deve nascer, ser orquestrado e ser codificado. O documento completo do paciente precisa ser simultaneamente clássico, funcional, robusto e visualmente caprichado. Esse valor visual não é ornamento; é parte da eficiência da informação e da percepção de excelência da clínica.</w:t>
      </w:r>
    </w:p>
    <w:sectPr w:rsidR="00FC693F" w:rsidRPr="0006063C" w:rsidSect="00034616"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