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RASX ARQU DIST V5 (CHAT)</w:t>
      </w:r>
    </w:p>
    <w:p>
      <w:r>
        <w:rPr>
          <w:b/>
          <w:sz w:val="24"/>
        </w:rPr>
        <w:t>Manifesto de Arquitetura de Distribuição, Nomenclatura, Blocos, Classes de Procedimento e Governança Documental</w:t>
      </w:r>
    </w:p>
    <w:p>
      <w:r>
        <w:rPr>
          <w:i/>
        </w:rPr>
        <w:t>Instituto Pádua</w:t>
      </w:r>
    </w:p>
    <w:p>
      <w:r>
        <w:rPr>
          <w:b/>
        </w:rPr>
        <w:t>1. Papel do documento</w:t>
      </w:r>
    </w:p>
    <w:p>
      <w:r>
        <w:t>Este manifesto define a nomenclatura oficial, a arquitetura de blocos, a distribuição documental, a classificação por procedimento, as pastas de destino, os gatilhos de envio e a semântica-base para que o Dr. Claude orquestre e o Dr. Replit implemente o sistema de RAS sem geração aleatória, sem mistura indevida de PDFs e sem perda de previsibilidade clínica, jurídica, financeira e operacional.</w:t>
      </w:r>
    </w:p>
    <w:p>
      <w:r>
        <w:t>O nome oficial desta arquitetura é RASX ARQU DIST V5 (CHAT). O nome da arquitetura central do sistema é RASX-MATRIZ.</w:t>
      </w:r>
    </w:p>
    <w:p>
      <w:r>
        <w:rPr>
          <w:b/>
        </w:rPr>
        <w:t>2. Princípio-mestre</w:t>
      </w:r>
    </w:p>
    <w:p>
      <w:r>
        <w:t>O sistema não deve gerar um único PDF gigante com vinte ou mais seções. O sistema deve classificar o contexto, identificar o evento clínico ou administrativo, reconhecer a classe do procedimento, selecionar o bloco correto, acoplar as seções compatíveis e distribuir cada saída para sua pasta, seu canal e sua periodicidade.</w:t>
      </w:r>
    </w:p>
    <w:p>
      <w:r>
        <w:t>O RASX-MATRIZ não é o PDF enviado ao paciente. O RASX-MATRIZ é a estrutura-mãe de classificação, acoplamento, disparo, distribuição e arquivamento.</w:t>
      </w:r>
    </w:p>
    <w:p>
      <w:r>
        <w:rPr>
          <w:b/>
        </w:rPr>
        <w:t>3. Os 5 blocos oficiais</w:t>
      </w:r>
    </w:p>
    <w:p>
      <w:r>
        <w:t>CLIN = bloco clínico</w:t>
        <w:br/>
        <w:t>JURI = bloco jurídico</w:t>
        <w:br/>
        <w:t>FINA = bloco financeiro</w:t>
        <w:br/>
        <w:t>ACOM = bloco de acompanhamento</w:t>
        <w:br/>
        <w:t>4100 = bloco de patologias e medicações</w:t>
      </w:r>
    </w:p>
    <w:p>
      <w:r>
        <w:t>Regra estrutural: os quatro primeiros blocos usam quatro letras. O quinto bloco usa quatro números, conforme diretriz definida.</w:t>
      </w:r>
    </w:p>
    <w:p>
      <w:r>
        <w:rPr>
          <w:b/>
        </w:rPr>
        <w:t>4. Definição de cada bloco</w:t>
      </w:r>
    </w:p>
    <w:p>
      <w:r>
        <w:t>CLIN reúne protocolo, base clínica, sessões, evolução clínica e pós-procedimento.</w:t>
        <w:br/>
        <w:t>JURI reúne contratos, consentimentos, termos de uso, ciência de risco, LGPD, uso de imagem e assinatura digital.</w:t>
        <w:br/>
        <w:t>FINA reúne proposta, pagamento, reembolso e ciência financeira.</w:t>
        <w:br/>
        <w:t>ACOM reúne devolutivas, jornada, metas, alertas e acompanhamento periódico.</w:t>
        <w:br/>
        <w:t>4100 reúne patologias atuais, patologias potenciais, medicações em uso, linha temporal de redução, suspensão e substituições integrativas.</w:t>
      </w:r>
    </w:p>
    <w:p>
      <w:r>
        <w:rPr>
          <w:b/>
        </w:rPr>
        <w:t>5. Subgrupos do bloco CLIN</w:t>
      </w:r>
    </w:p>
    <w:p>
      <w:r>
        <w:t>BASE = base clínica inicial</w:t>
        <w:br/>
        <w:t>SESS = sessões e execução</w:t>
        <w:br/>
        <w:t>EVOL = evolução clínica</w:t>
        <w:br/>
        <w:t>POSP = pós-procedimento</w:t>
      </w:r>
    </w:p>
    <w:p>
      <w:r>
        <w:t>Função:</w:t>
        <w:br/>
        <w:t>BASE monta o núcleo clínico inicial do paciente.</w:t>
        <w:br/>
        <w:t>SESS organiza agenda, aplicações, execução e status das sessões.</w:t>
        <w:br/>
        <w:t>EVOL mostra saúde atual, resposta ao protocolo e progresso.</w:t>
        <w:br/>
        <w:t>POSP entrega orientações e cuidados após cada procedimento.</w:t>
      </w:r>
    </w:p>
    <w:p>
      <w:r>
        <w:rPr>
          <w:b/>
        </w:rPr>
        <w:t>6. Subgrupos do bloco JURI</w:t>
      </w:r>
    </w:p>
    <w:p>
      <w:r>
        <w:t>BASE = base jurídica geral</w:t>
        <w:br/>
        <w:t>CONS = consentimentos por classe de procedimento</w:t>
        <w:br/>
        <w:t>IMAG = uso de imagem</w:t>
        <w:br/>
        <w:t>DIGI = assinatura digital</w:t>
      </w:r>
    </w:p>
    <w:p>
      <w:r>
        <w:t>Função:</w:t>
        <w:br/>
        <w:t>BASE reúne LGPD, responsabilidade geral, ciência do paciente e regras institucionais.</w:t>
        <w:br/>
        <w:t>CONS reúne os termos específicos por procedimento.</w:t>
        <w:br/>
        <w:t>IMAG trata autorização, recusa formal, finalidades e limites do uso de imagem.</w:t>
        <w:br/>
        <w:t>DIGI fixa a prova da assinatura digital e o vínculo com a explicação presencial.</w:t>
      </w:r>
    </w:p>
    <w:p>
      <w:r>
        <w:rPr>
          <w:b/>
        </w:rPr>
        <w:t>7. Subgrupos do bloco FINA</w:t>
      </w:r>
    </w:p>
    <w:p>
      <w:r>
        <w:t>ORCA = orçamento</w:t>
        <w:br/>
        <w:t>PAGT = pagamento</w:t>
        <w:br/>
        <w:t>REEM = reembolso</w:t>
        <w:br/>
        <w:t>CIEN = ciência financeira</w:t>
      </w:r>
    </w:p>
    <w:p>
      <w:r>
        <w:t>Função:</w:t>
        <w:br/>
        <w:t>ORCA mostra a proposta econômica inicial.</w:t>
        <w:br/>
        <w:t>PAGT mostra cronograma, parcelas e condição de pagamento.</w:t>
        <w:br/>
        <w:t>REEM mostra regra de desistência e cálculo econômico de cancelamento.</w:t>
        <w:br/>
        <w:t>CIEN formaliza que o paciente compreendeu os valores, a natureza do protocolo e os custos vinculados.</w:t>
      </w:r>
    </w:p>
    <w:p>
      <w:r>
        <w:rPr>
          <w:b/>
        </w:rPr>
        <w:t>8. Subgrupos do bloco ACOM</w:t>
      </w:r>
    </w:p>
    <w:p>
      <w:r>
        <w:t>REVO = relatório evolutivo</w:t>
        <w:br/>
        <w:t>JORN = jornada</w:t>
        <w:br/>
        <w:t>META = metas</w:t>
        <w:br/>
        <w:t>ALER = alertas</w:t>
      </w:r>
    </w:p>
    <w:p>
      <w:r>
        <w:t>Função:</w:t>
        <w:br/>
        <w:t>REVO mostra devolutiva periódica.</w:t>
        <w:br/>
        <w:t>JORN mostra a caminhada clínica do paciente.</w:t>
        <w:br/>
        <w:t>META mostra próximos exames, metas e etapas.</w:t>
        <w:br/>
        <w:t>ALER mostra pendências, observações críticas e atenção pós-evento.</w:t>
      </w:r>
    </w:p>
    <w:p>
      <w:r>
        <w:rPr>
          <w:b/>
        </w:rPr>
        <w:t>9. Subgrupos do bloco 4100</w:t>
      </w:r>
    </w:p>
    <w:p>
      <w:r>
        <w:t>4101 = patologias atuais</w:t>
        <w:br/>
        <w:t>4102 = patologias potenciais</w:t>
        <w:br/>
        <w:t>4103 = medicações em uso</w:t>
        <w:br/>
        <w:t>4104 = substituições integrativas</w:t>
      </w:r>
    </w:p>
    <w:p>
      <w:r>
        <w:t>Função:</w:t>
        <w:br/>
        <w:t>4101 consolida doenças diagnosticadas.</w:t>
        <w:br/>
        <w:t>4102 mostra risco de desenvolvimento ou progressão.</w:t>
        <w:br/>
        <w:t>4103 mostra remédios ativos e linha temporal de redução, troca ou suspensão.</w:t>
        <w:br/>
        <w:t>4104 mostra a transição farmacológica para suporte integrativo, com critério clínico e desfecho.</w:t>
      </w:r>
    </w:p>
    <w:p>
      <w:r>
        <w:rPr>
          <w:b/>
        </w:rPr>
        <w:t>10. Classes de procedimento obrigatórias</w:t>
      </w:r>
    </w:p>
    <w:p>
      <w:r>
        <w:t>FORM = fórmulas manipuladas</w:t>
        <w:br/>
        <w:t>INJM = injetáveis intramusculares</w:t>
        <w:br/>
        <w:t>INJV = injetáveis endovenosos</w:t>
        <w:br/>
        <w:t>IMPL = implantes hormonais ou terapêuticos</w:t>
        <w:br/>
        <w:t>ESTI = estética invasiva</w:t>
        <w:br/>
        <w:t>ESTT = estética por tecnologia</w:t>
      </w:r>
    </w:p>
    <w:p>
      <w:r>
        <w:t>Estas classes não são sinônimos. Elas carregam risco, linguagem jurídica, necessidade de pós-procedimento e consentimento próprio.</w:t>
      </w:r>
    </w:p>
    <w:p>
      <w:r>
        <w:rPr>
          <w:b/>
        </w:rPr>
        <w:t>11. Consentimentos jurídicos por classe de procedimento</w:t>
      </w:r>
    </w:p>
    <w:p>
      <w:r>
        <w:t>CFOR = consentimento de fórmulas manipuladas</w:t>
        <w:br/>
        <w:t>CIMU = consentimento para intramuscular</w:t>
        <w:br/>
        <w:t>CEND = consentimento para endovenoso</w:t>
        <w:br/>
        <w:t>CIMP = consentimento para implantes</w:t>
        <w:br/>
        <w:t>CEIN = consentimento para estética invasiva</w:t>
        <w:br/>
        <w:t>CETE = consentimento para estética por tecnologia</w:t>
      </w:r>
    </w:p>
    <w:p>
      <w:r>
        <w:t>Além deles, o sistema deve prever:</w:t>
        <w:br/>
        <w:t>RISC = ciência de risco global</w:t>
        <w:br/>
        <w:t>NGAR = não garantia de resultado</w:t>
        <w:br/>
        <w:t>ADES = responsabilidade do paciente</w:t>
        <w:br/>
        <w:t>REAC = intercorrências e reações</w:t>
        <w:br/>
        <w:t>CONT = continuidade e monitoramento</w:t>
      </w:r>
    </w:p>
    <w:p>
      <w:r>
        <w:rPr>
          <w:b/>
        </w:rPr>
        <w:t>12. Conteúdo obrigatório do termo de fórmulas manipuladas</w:t>
      </w:r>
    </w:p>
    <w:p>
      <w:r>
        <w:t>O termo de fórmulas deve abordar resposta biológica variável, absorção individual, possíveis interações, efeitos colaterais, necessidade de acompanhamento, não retirada automática de remédios, e necessidade de adesão a rotina, sono, alimentação, atividade física e suporte clínico.</w:t>
      </w:r>
    </w:p>
    <w:p>
      <w:r>
        <w:t>Deve constar que cada organismo responde de maneira diferente e que o tratamento integrativo não autoriza suspensão unilateral de fármacos sem validação clínica.</w:t>
      </w:r>
    </w:p>
    <w:p>
      <w:r>
        <w:rPr>
          <w:b/>
        </w:rPr>
        <w:t>13. Conteúdo obrigatório do termo de injetáveis intramusculares</w:t>
      </w:r>
    </w:p>
    <w:p>
      <w:r>
        <w:t>Deve conter natureza do procedimento, desconforto local, hematoma, nódulo, resposta variável, intercorrências locais, necessidade de informar reações, monitoramento mínimo e responsabilidade do paciente quanto ao seguimento das orientações.</w:t>
      </w:r>
    </w:p>
    <w:p>
      <w:r>
        <w:rPr>
          <w:b/>
        </w:rPr>
        <w:t>14. Conteúdo obrigatório do termo de injetáveis endovenosos</w:t>
      </w:r>
    </w:p>
    <w:p>
      <w:r>
        <w:t>Deve conter natureza do procedimento, risco de reação imediata, possibilidade de desconforto venoso, intercorrências alérgicas, necessidade de ambiente controlado, monitoramento clínico durante aplicação e ciência de que a resposta terapêutica é variável.</w:t>
      </w:r>
    </w:p>
    <w:p>
      <w:r>
        <w:rPr>
          <w:b/>
        </w:rPr>
        <w:t>15. Conteúdo obrigatório do termo de implantes hormonais</w:t>
      </w:r>
    </w:p>
    <w:p>
      <w:r>
        <w:t>Deve conter natureza minimamente invasiva, hormônios bioidênticos e substâncias implantáveis, efeitos sistêmicos possíveis, necessidade de exames, necessidade de seguimento clínico, ciência de que não há reversão instantânea dos efeitos e de que a resposta depende do organismo.</w:t>
      </w:r>
    </w:p>
    <w:p>
      <w:r>
        <w:t>Deve mencionar que a retirada de fármacos de apoio ou mudanças terapêuticas só ocorrem com melhora validada e não por expectativa subjetiva.</w:t>
      </w:r>
    </w:p>
    <w:p>
      <w:r>
        <w:rPr>
          <w:b/>
        </w:rPr>
        <w:t>16. Conteúdo obrigatório do termo de estética invasiva</w:t>
      </w:r>
    </w:p>
    <w:p>
      <w:r>
        <w:t>Aplica-se a botox, preenchedores, ácido hialurônico, bioestimuladores, fios, enzimas e similares. Deve conter risco de edema, assimetria, hematoma, resultado variável, necessidade eventual de retoque, dependência de características teciduais individuais e ausência de garantia de resultado específico.</w:t>
      </w:r>
    </w:p>
    <w:p>
      <w:r>
        <w:rPr>
          <w:b/>
        </w:rPr>
        <w:t>17. Conteúdo obrigatório do termo de estética por tecnologia</w:t>
      </w:r>
    </w:p>
    <w:p>
      <w:r>
        <w:t>Aplica-se a laser de CO2, erbium, depilação a laser, ultrassom microfocado, radiofrequência, luz pulsada e similares. Deve conter risco de queimadura, hiperpigmentação, hipopigmentação, edema, crostas, resposta variável ao fototipo e necessidade de seguimento das orientações pós-procedimento.</w:t>
      </w:r>
    </w:p>
    <w:p>
      <w:r>
        <w:rPr>
          <w:b/>
        </w:rPr>
        <w:t>18. Uso de imagem — arquitetura jurídica correta</w:t>
      </w:r>
    </w:p>
    <w:p>
      <w:r>
        <w:t>O sistema deve possuir a subcategoria IMAG. O manifesto deve prever autorização de uso de imagem e também o fluxo de negativa formal.</w:t>
      </w:r>
    </w:p>
    <w:p>
      <w:r>
        <w:t>A autorização de imagem deve ser expressa, documentada e assinada digitalmente. Se o modelo comercial da clínica operar com autorização previamente incluída no pacote documental, deve existir campo claro e destacado informando isso e caminho inequívoco para negativa formal.</w:t>
      </w:r>
    </w:p>
    <w:p>
      <w:r>
        <w:t>O sistema deve registrar:</w:t>
        <w:br/>
        <w:t>finalidade do uso</w:t>
        <w:br/>
        <w:t>abrangência</w:t>
        <w:br/>
        <w:t>meio de divulgação</w:t>
        <w:br/>
        <w:t>prazo ou revogabilidade</w:t>
        <w:br/>
        <w:t>status do consentimento</w:t>
        <w:br/>
        <w:t>status da negativa formal, quando houver</w:t>
      </w:r>
    </w:p>
    <w:p>
      <w:r>
        <w:rPr>
          <w:b/>
        </w:rPr>
        <w:t>19. Assinatura digital e prova pelo Doxite</w:t>
      </w:r>
    </w:p>
    <w:p>
      <w:r>
        <w:t>O sistema deve tornar explícito que o paciente assinou digitalmente pela plataforma Doxite, que a assinatura possui rastreabilidade, e que o conteúdo foi explicado presencialmente por profissional da clínica antes da assinatura.</w:t>
      </w:r>
    </w:p>
    <w:p>
      <w:r>
        <w:t>Deve existir texto afirmando que:</w:t>
        <w:br/>
        <w:t>o paciente recebeu explicação presencial</w:t>
        <w:br/>
        <w:t>o paciente pôde esclarecer dúvidas</w:t>
        <w:br/>
        <w:t>o aceite foi realizado digitalmente pela plataforma Doxite</w:t>
        <w:br/>
        <w:t>o aceite vincula integralmente todas as cláusulas do bloco correspondente</w:t>
        <w:br/>
        <w:t>o documento possui validade jurídica e trilha de auditoria</w:t>
      </w:r>
    </w:p>
    <w:p>
      <w:r>
        <w:rPr>
          <w:b/>
        </w:rPr>
        <w:t>20. Regra específica de medicamentos no bloco 4100</w:t>
      </w:r>
    </w:p>
    <w:p>
      <w:r>
        <w:t>O sistema não deve separar nome do remédio e dose em campos distintos quando se tratar da apresentação medicamentosa mostrada ao usuário. O campo do medicamento deve carregar a dose embutida. Exemplo: Caprio 25 mg. A posologia deve ficar em campo próprio.</w:t>
      </w:r>
    </w:p>
    <w:p>
      <w:r>
        <w:t>Campos mínimos:</w:t>
        <w:br/>
        <w:t>medicamentoApresentacao</w:t>
        <w:br/>
        <w:t>posologia</w:t>
        <w:br/>
        <w:t>dataInicioUso</w:t>
        <w:br/>
        <w:t>dataReducao</w:t>
        <w:br/>
        <w:t>novaApresentacao</w:t>
        <w:br/>
        <w:t>dataSuspensao</w:t>
        <w:br/>
        <w:t>substituicaoIntegrativa</w:t>
        <w:br/>
        <w:t>criterioClinicoDaMudanca</w:t>
      </w:r>
    </w:p>
    <w:p>
      <w:r>
        <w:rPr>
          <w:b/>
        </w:rPr>
        <w:t>21. Exemplo de linha temporal obrigatória para medicação</w:t>
      </w:r>
    </w:p>
    <w:p>
      <w:r>
        <w:t>01/04/2026 | Caprio 50 mg | 1 comprimido 2x ao dia | Uso ativo | sem substituição | pressão ainda dependente de farmacoterapia</w:t>
        <w:br/>
        <w:t>15/04/2026 | Caprio 25 mg | 1 comprimido 2x ao dia | Redução | magnésio + ômega-3 | redução parcial após melhora clínica</w:t>
        <w:br/>
        <w:t>01/09/2026 | sem remédio | sem posologia | Suspensão | mantida estratégia natural | remédio retirado após estabilidade sustentada</w:t>
      </w:r>
    </w:p>
    <w:p>
      <w:r>
        <w:rPr>
          <w:b/>
        </w:rPr>
        <w:t>22. Regra de distribuição por evento</w:t>
      </w:r>
    </w:p>
    <w:p>
      <w:r>
        <w:t>START:</w:t>
        <w:br/>
        <w:t>dispara CLIN, JURI e FINA</w:t>
      </w:r>
    </w:p>
    <w:p>
      <w:r>
        <w:t>Pós-procedimento:</w:t>
        <w:br/>
        <w:t>dispara CLIN.POSP e ACOM.ALER</w:t>
      </w:r>
    </w:p>
    <w:p>
      <w:r>
        <w:t>Consulta mensal:</w:t>
        <w:br/>
        <w:t>dispara ACOM.REVO, ACOM.JORN e ACOM.META</w:t>
      </w:r>
    </w:p>
    <w:p>
      <w:r>
        <w:t>Revisão semestral:</w:t>
        <w:br/>
        <w:t>dispara 4101, 4102, 4103 e 4104</w:t>
      </w:r>
    </w:p>
    <w:p>
      <w:r>
        <w:t>Solicitação jurídica:</w:t>
        <w:br/>
        <w:t>dispara JURI</w:t>
      </w:r>
    </w:p>
    <w:p>
      <w:r>
        <w:t>Solicitação financeira:</w:t>
        <w:br/>
        <w:t>dispara FINA</w:t>
      </w:r>
    </w:p>
    <w:p>
      <w:r>
        <w:rPr>
          <w:b/>
        </w:rPr>
        <w:t>23. Pastas de destino</w:t>
      </w:r>
    </w:p>
    <w:p>
      <w:r>
        <w:t>CLIN -&gt; protocolos</w:t>
        <w:br/>
        <w:t>JURI -&gt; juridico</w:t>
        <w:br/>
        <w:t>FINA -&gt; financeiro</w:t>
        <w:br/>
        <w:t>ACOM -&gt; acompanhamento</w:t>
        <w:br/>
        <w:t>4100 -&gt; patologias</w:t>
      </w:r>
    </w:p>
    <w:p>
      <w:r>
        <w:t>Regra crítica:</w:t>
        <w:br/>
        <w:t>nenhum bloco jurídico pode ser salvo em protocolos</w:t>
        <w:br/>
        <w:t>nenhum bloco financeiro pode ser salvo em acompanhamento</w:t>
        <w:br/>
        <w:t>nenhum bloco clínico deve ser misturado com jurídico na mesma pasta</w:t>
      </w:r>
    </w:p>
    <w:p>
      <w:r>
        <w:rPr>
          <w:b/>
        </w:rPr>
        <w:t>24. Layouts e DNA visual</w:t>
      </w:r>
    </w:p>
    <w:p>
      <w:r>
        <w:t>O DNA visual deve seguir a linha premium já consolidada nos manifestos anteriores: logo no topo direito, títulos elegantes à esquerda, paleta azul petróleo, off-white, dourado queimado e verde sálvia, placeholders estáveis, páginas híbridas em retrato e paisagem, leitura modular e conforto TDAH/TOC friendly.</w:t>
      </w:r>
    </w:p>
    <w:p>
      <w:r>
        <w:t>O RAS evolutivo já estabeleceu o princípio de páginas A4 em retrato e paisagem dentro do mesmo arquivo, mantendo leitura fluida no celular. O RASX ARQU V5 já definiu placeholders estáveis, uso de retrato para narrativa e paisagem para matrizes, além da regra do medicamento com dose embutida e posologia em campo separado.</w:t>
      </w:r>
    </w:p>
    <w:p>
      <w:r>
        <w:rPr>
          <w:b/>
        </w:rPr>
        <w:t>25. Regra de ouro para Claude e Replit</w:t>
      </w:r>
    </w:p>
    <w:p>
      <w:r>
        <w:t>O sistema não gera um RAS único. O sistema classifica a classe do procedimento, seleciona o bloco documental correto, acopla os subgrupos compatíveis e distribui cada saída para sua pasta, seu canal e sua periodicidade.</w:t>
      </w:r>
    </w:p>
    <w:p>
      <w:r>
        <w:t>Claude deve usar este manifesto para orquestrar semântica, prioridades, blocos, classes e gatilhos.</w:t>
        <w:br/>
        <w:t>Replit deve usar este manifesto para modelar enums, schemas, serviços, geradores de bloco, renderização PDF e distribuição documental.</w:t>
      </w:r>
    </w:p>
    <w:p>
      <w:r>
        <w:rPr>
          <w:b/>
        </w:rPr>
        <w:t>26. Encerramento</w:t>
      </w:r>
    </w:p>
    <w:p>
      <w:r>
        <w:t>Este manifesto consolida a nomenclatura oficial pedida pelo Dr. Caio:</w:t>
      </w:r>
    </w:p>
    <w:p>
      <w:r>
        <w:t>RASX ARQU DIST V5 (CHAT)</w:t>
      </w:r>
    </w:p>
    <w:p>
      <w:r>
        <w:t>Arquitetura central:</w:t>
        <w:br/>
        <w:t>RASX-MATRIZ</w:t>
      </w:r>
    </w:p>
    <w:p>
      <w:r>
        <w:t>Blocos oficiais:</w:t>
        <w:br/>
        <w:t>CLIN</w:t>
        <w:br/>
        <w:t>JURI</w:t>
        <w:br/>
        <w:t>FINA</w:t>
        <w:br/>
        <w:t>ACOM</w:t>
        <w:br/>
        <w:t>4100</w:t>
      </w:r>
    </w:p>
    <w:p>
      <w:r>
        <w:t>Subgrupos oficiais:</w:t>
        <w:br/>
        <w:t>CLIN = BASE, SESS, EVOL, POSP</w:t>
        <w:br/>
        <w:t>JURI = BASE, CONS, IMAG, DIGI</w:t>
        <w:br/>
        <w:t>FINA = ORCA, PAGT, REEM, CIEN</w:t>
        <w:br/>
        <w:t>ACOM = REVO, JORN, META, ALER</w:t>
        <w:br/>
        <w:t>4100 = 4101, 4102, 4103, 4104</w:t>
      </w:r>
    </w:p>
    <w:p>
      <w:r>
        <w:t>Classes de procedimento:</w:t>
        <w:br/>
        <w:t>FORM, INJM, INJV, IMPL, ESTI, ESTT</w:t>
      </w:r>
    </w:p>
    <w:p>
      <w:r>
        <w:t>Consentimentos:</w:t>
        <w:br/>
        <w:t>CFOR, CIMU, CEND, CIMP, CEIN, CETE</w:t>
      </w:r>
    </w:p>
    <w:p>
      <w:r>
        <w:t>Subcategorias jurídicas adicionais:</w:t>
        <w:br/>
        <w:t>RISC, NGAR, ADES, REAC, CONT</w:t>
      </w:r>
    </w:p>
    <w:p>
      <w:r>
        <w:t>Com isso, o sistema deixa de gerar PDFs aleatórios e passa a distribuir blocos documentais coerentes, previsíveis, auditáveis e juridicamente protegidos.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