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91919"/>
          <w:sz w:val="44"/>
        </w:rPr>
        <w:t>MANIFESTO TÉCNICO DE IMPLANTAÇÃO</w:t>
      </w:r>
    </w:p>
    <w:p>
      <w:pPr>
        <w:spacing w:after="360"/>
        <w:jc w:val="center"/>
      </w:pPr>
      <w:r>
        <w:rPr>
          <w:b/>
          <w:color w:val="5A5A5A"/>
          <w:sz w:val="26"/>
        </w:rPr>
        <w:t>MÓDULO DE ASSINATURA DIGITAL, TESTEMUNHAS FIXAS E AUTOMAÇÃO MULTICANAL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520"/>
      </w:tblGrid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28C35"/>
            <w:shd w:fill="E7D8B5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282828"/>
              </w:rPr>
              <w:t>Sistema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B28C35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PAU ARTS – INSTITUTO PÁDUA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D8B5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282828"/>
              </w:rPr>
              <w:t>Direção clínica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DR. CAIO HENRIQUE PÁDUA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D8B5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282828"/>
              </w:rPr>
              <w:t>Destinatário técnico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DR. REPLIT “IA” – responsável pela codificação e implantação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D8B5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282828"/>
              </w:rPr>
              <w:t>Objetivo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Implantar fluxo jurídico-digital completo, simples para o paciente e plenamente rastreável no sistema</w:t>
            </w:r>
          </w:p>
        </w:tc>
      </w:tr>
    </w:tbl>
    <w:p>
      <w:pPr>
        <w:spacing w:before="320" w:after="160"/>
      </w:pPr>
      <w:r>
        <w:rPr>
          <w:b/>
          <w:sz w:val="26"/>
        </w:rPr>
        <w:t>Mensagem ao Dr. Replit</w:t>
      </w:r>
    </w:p>
    <w:p>
      <w:pPr>
        <w:spacing w:line="276" w:lineRule="auto" w:after="120"/>
      </w:pPr>
      <w:r>
        <w:t>Este manifesto estabelece, em linguagem executiva e técnica, como o módulo de assinatura digital deverá ser anastomosado ao sistema PAU ARTS, preservando simplicidade para o paciente, robustez jurídica para a clínica e automação integral de entrada, validação, armazenamento e distribuição dos documentos.</w:t>
      </w:r>
    </w:p>
    <w:p>
      <w:pPr>
        <w:spacing w:line="276" w:lineRule="auto" w:after="120"/>
      </w:pPr>
      <w:r>
        <w:t>A experiência do paciente deve ser sutil, elegante e objetiva. O sistema jamais deve transmitir a sensação de “burocracia pesada”. A assinatura deve aparecer como uma etapa natural de segurança, organização e transparência do atendimento, e não como um obstáculo ao tratamento.</w:t>
      </w:r>
    </w:p>
    <w:p>
      <w:pPr>
        <w:spacing w:line="276" w:lineRule="auto" w:after="120"/>
      </w:pPr>
      <w:r>
        <w:t>O fluxo deverá suportar duas plataformas de assinatura eletrônica, Clicksign e ZapSign, com chaveamento por toggle administrativo, testemunhas internas fixas e automações obrigatórias de saída para e-mail, WhatsApp e Google Drive na pasta específica do paciente, sempre com nomenclatura padronizada e metadados consistentes.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1. PRINCÍPIOS ARQUITETURAIS</w:t>
            </w:r>
          </w:p>
        </w:tc>
      </w:tr>
    </w:tbl>
    <w:p/>
    <w:p>
      <w:pPr>
        <w:pStyle w:val="ListBullet"/>
        <w:spacing w:after="40"/>
      </w:pPr>
      <w:r>
        <w:t>Arquitetura desacoplada: o módulo de assinatura deve existir como serviço próprio, isolando templates, provedores, webhooks, regras jurídicas e automações de saída.</w:t>
      </w:r>
    </w:p>
    <w:p>
      <w:pPr>
        <w:pStyle w:val="ListBullet"/>
        <w:spacing w:after="40"/>
      </w:pPr>
      <w:r>
        <w:t>Chaveamento dinâmico: o sistema deve permitir alternância entre Clicksign e ZapSign por toggle administrativo, sem reescrever a lógica central do fluxo.</w:t>
      </w:r>
    </w:p>
    <w:p>
      <w:pPr>
        <w:pStyle w:val="ListBullet"/>
        <w:spacing w:after="40"/>
      </w:pPr>
      <w:r>
        <w:t>Experiência TDAH-friendly e TC-friendly: poucas etapas, linguagem simples, títulos claros, botões objetivos, mensagens curtas e previsíveis.</w:t>
      </w:r>
    </w:p>
    <w:p>
      <w:pPr>
        <w:pStyle w:val="ListBullet"/>
        <w:spacing w:after="40"/>
      </w:pPr>
      <w:r>
        <w:t>Reificação total: tudo que ocorrer no fluxo deve gerar vestígio técnico verificável — documento original, documento assinado, logs, hash, carimbo de data/hora, IP, identificador do provedor, evidências de entrega e confirmação.</w:t>
      </w:r>
    </w:p>
    <w:p>
      <w:pPr>
        <w:pStyle w:val="ListBullet"/>
        <w:spacing w:after="40"/>
      </w:pPr>
      <w:r>
        <w:t>Automação triplamente redundante de saída: após assinatura, o sistema deve disparar cópia ao paciente por e-mail, WhatsApp e Google Drive da respectiva pasta do cadastro.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2. PASTAS PRINCIPAIS E ESTRUTURA DE ARMAZENAMENTO</w:t>
            </w:r>
          </w:p>
        </w:tc>
      </w:tr>
    </w:tbl>
    <w:p/>
    <w:p>
      <w:r>
        <w:t>Estrutura recomendada no Google Drive para o núcleo documental do paciente:</w:t>
      </w:r>
    </w:p>
    <w:p>
      <w:pPr>
        <w:pStyle w:val="CodeBlock"/>
        <w:spacing w:after="0"/>
        <w:ind w:left="227"/>
      </w:pPr>
      <w:r>
        <w:t>/PASTA - THEO</w:t>
      </w:r>
    </w:p>
    <w:p>
      <w:pPr>
        <w:pStyle w:val="CodeBlock"/>
        <w:spacing w:after="0"/>
        <w:ind w:left="227"/>
      </w:pPr>
      <w:r>
        <w:t xml:space="preserve">    /PACIENTES</w:t>
      </w:r>
    </w:p>
    <w:p>
      <w:pPr>
        <w:pStyle w:val="CodeBlock"/>
        <w:spacing w:after="0"/>
        <w:ind w:left="227"/>
      </w:pPr>
      <w:r>
        <w:t xml:space="preserve">        /[ID_PACIENTE] [NOME COMPLETO]</w:t>
      </w:r>
    </w:p>
    <w:p>
      <w:pPr>
        <w:pStyle w:val="CodeBlock"/>
        <w:spacing w:after="0"/>
        <w:ind w:left="227"/>
      </w:pPr>
      <w:r>
        <w:t xml:space="preserve">            /CADASTRO</w:t>
      </w:r>
    </w:p>
    <w:p>
      <w:pPr>
        <w:pStyle w:val="CodeBlock"/>
        <w:spacing w:after="0"/>
        <w:ind w:left="227"/>
      </w:pPr>
      <w:r>
        <w:t xml:space="preserve">            /TERMOS</w:t>
      </w:r>
    </w:p>
    <w:p>
      <w:pPr>
        <w:pStyle w:val="CodeBlock"/>
        <w:spacing w:after="0"/>
        <w:ind w:left="227"/>
      </w:pPr>
      <w:r>
        <w:t xml:space="preserve">            /JURIDICO</w:t>
      </w:r>
    </w:p>
    <w:p>
      <w:pPr>
        <w:pStyle w:val="CodeBlock"/>
        <w:spacing w:after="0"/>
        <w:ind w:left="227"/>
      </w:pPr>
      <w:r>
        <w:t xml:space="preserve">            /ORCAMENTOS</w:t>
      </w:r>
    </w:p>
    <w:p>
      <w:pPr>
        <w:pStyle w:val="CodeBlock"/>
        <w:spacing w:after="0"/>
        <w:ind w:left="227"/>
      </w:pPr>
      <w:r>
        <w:t xml:space="preserve">            /CONTRATOS</w:t>
      </w:r>
    </w:p>
    <w:p>
      <w:pPr>
        <w:pStyle w:val="CodeBlock"/>
        <w:spacing w:after="0"/>
        <w:ind w:left="227"/>
      </w:pPr>
      <w:r>
        <w:t xml:space="preserve">            /ASSINADOS</w:t>
      </w:r>
    </w:p>
    <w:p>
      <w:pPr>
        <w:pStyle w:val="CodeBlock"/>
        <w:spacing w:after="0"/>
        <w:ind w:left="227"/>
      </w:pPr>
      <w:r>
        <w:t xml:space="preserve">            /LOGS</w:t>
      </w:r>
    </w:p>
    <w:p>
      <w:r>
        <w:t>Critério funcional sugerido: documentos assinados devem ser gravados em /ASSINADOS e, simultaneamente, uma cópia lógica pode ser replicada em /TERMOS ou /JURIDICO conforme a natureza do arquivo. Para o seu cenário, “TERMOS” é mais intuitivo para consentimentos e autorizações; “JURIDICO” deve concentrar contratos, procurações, aditivos e documentos de força probatória mais ampla.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04040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Pasta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04040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Conteúdo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404040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Regra de uso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TERMOS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TCLE, consentimento, autorização de procedimento, ciência de riscos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Usar quando o documento estiver vinculado ao cuidado e à autorização clínica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JURIDICO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Contrato, aditivo, distrato, aceite formal, documento de cobrança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Usar quando a finalidade principal for contratual ou de proteção jurídica ampla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ASSINADOS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Cópia final assinada de qualquer classe documental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Sempre gravar aqui a versão final assinada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LOGS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JSON, PDF de trilha de auditoria, hashes, eventos de webhook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Sempre gravar junto com o documento final para reificação completa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3. DADOS DE CADASTRO QUE DEVEM ORQUESTRAR O FLUXO</w:t>
            </w:r>
          </w:p>
        </w:tc>
      </w:tr>
    </w:tbl>
    <w:p/>
    <w:p>
      <w:r>
        <w:t>O roteamento de arquivos e mensagens deve ser puxado, obrigatoriamente, a partir do cadastro do paciente. Campos mínimos:</w:t>
      </w:r>
    </w:p>
    <w:p>
      <w:pPr>
        <w:pStyle w:val="ListBullet"/>
      </w:pPr>
      <w:r>
        <w:t>patient_id</w:t>
      </w:r>
    </w:p>
    <w:p>
      <w:pPr>
        <w:pStyle w:val="ListBullet"/>
      </w:pPr>
      <w:r>
        <w:t>nome_completo</w:t>
      </w:r>
    </w:p>
    <w:p>
      <w:pPr>
        <w:pStyle w:val="ListBullet"/>
      </w:pPr>
      <w:r>
        <w:t>cpf</w:t>
      </w:r>
    </w:p>
    <w:p>
      <w:pPr>
        <w:pStyle w:val="ListBullet"/>
      </w:pPr>
      <w:r>
        <w:t>email</w:t>
      </w:r>
    </w:p>
    <w:p>
      <w:pPr>
        <w:pStyle w:val="ListBullet"/>
      </w:pPr>
      <w:r>
        <w:t>telefone_whatsapp</w:t>
      </w:r>
    </w:p>
    <w:p>
      <w:pPr>
        <w:pStyle w:val="ListBullet"/>
      </w:pPr>
      <w:r>
        <w:t>data_nascimento</w:t>
      </w:r>
    </w:p>
    <w:p>
      <w:pPr>
        <w:pStyle w:val="ListBullet"/>
      </w:pPr>
      <w:r>
        <w:t>slug_paciente</w:t>
      </w:r>
    </w:p>
    <w:p>
      <w:pPr>
        <w:pStyle w:val="ListBullet"/>
      </w:pPr>
      <w:r>
        <w:t>pasta_drive_id</w:t>
      </w:r>
    </w:p>
    <w:p>
      <w:pPr>
        <w:pStyle w:val="ListBullet"/>
      </w:pPr>
      <w:r>
        <w:t>status_documental</w:t>
      </w:r>
    </w:p>
    <w:p>
      <w:r>
        <w:t>Nomenclatura padrão do arquivo:</w:t>
      </w:r>
    </w:p>
    <w:p>
      <w:pPr>
        <w:pStyle w:val="CodeBlock"/>
      </w:pPr>
      <w:r>
        <w:t>[AAAA-MM-DD] [TIPO_DOC] [NOME PACIENTE] [PROVEDOR] [STATUS].pdf</w:t>
      </w:r>
    </w:p>
    <w:p>
      <w:pPr>
        <w:pStyle w:val="CodeBlock"/>
      </w:pPr>
      <w:r>
        <w:t>Exemplo: 2026-04-18 TCLE JOAO DA SILVA CLICKSIGN ASSINADO.pdf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4. FLUXO DE ENTRADA, VALIDAÇÃO E SAÍDA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D6536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D6536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O que ocorre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D6536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Entrada/validação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7D6536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Saída esperada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1. Seleção do documento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Usuário escolhe template e paciente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Validar cadastro, tipo documental e toggle ativo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Payload interno pronto para montagem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2. Hidratação semântica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Sistema injeta placeholders com dados do paciente, clínica, médico e testemunhas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Validar campos obrigatórios e versão do template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PDF final + hash preliminar + metadados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3. Envio ao provedor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Sistema envia ao Clicksign ou ZapSign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Validar token, webhook, signatários e ordem de assinatura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Envelope/documento criado no provedor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4. Entrega ao paciente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Disparo de link por WhatsApp e e-mail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Validar telefone, e-mail e status de entrega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Paciente recebe experiência simples de assinatura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5. Webhook de conclusão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Provedor informa assinatura concluída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Validar autenticidade do webhook e status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Documento final, auditoria, timestamps e logs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6. Automação pós-assinatura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Sistema arquiva e redistribui a cópia final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Validar pasta destino, permissões e canais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Google Drive + e-mail + WhatsApp + status interno atualizado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5. TOGGLES ADMINISTRATIVOS</w:t>
            </w:r>
          </w:p>
        </w:tc>
      </w:tr>
    </w:tbl>
    <w:p/>
    <w:p>
      <w:r>
        <w:t>O painel administrativo deve conter toggles explícitos, visualmente simples, com descrição curta abaixo de cada um:</w:t>
      </w:r>
    </w:p>
    <w:p>
      <w:pPr>
        <w:pStyle w:val="CodeBlock"/>
      </w:pPr>
      <w:r>
        <w:t>[PROVEDOR DE ASSINATURA]  ( ) Clicksign   ( ) ZapSign</w:t>
      </w:r>
    </w:p>
    <w:p>
      <w:pPr>
        <w:pStyle w:val="CodeBlock"/>
      </w:pPr>
      <w:r>
        <w:t>[ASSINATURA DO MÉDICO]    [ON/OFF]</w:t>
      </w:r>
    </w:p>
    <w:p>
      <w:pPr>
        <w:pStyle w:val="CodeBlock"/>
      </w:pPr>
      <w:r>
        <w:t>[TESTEMUNHAS FIXAS]       [ON/OFF]</w:t>
      </w:r>
    </w:p>
    <w:p>
      <w:pPr>
        <w:pStyle w:val="CodeBlock"/>
      </w:pPr>
      <w:r>
        <w:t>[MODO ALEATÓRIO]          [ON/OFF]  -&gt; seleciona automaticamente um par de testemunhas ativas</w:t>
      </w:r>
    </w:p>
    <w:p>
      <w:pPr>
        <w:pStyle w:val="CodeBlock"/>
      </w:pPr>
      <w:r>
        <w:t>[MODO PAR FIXO]           [ON/OFF]  -&gt; usa sempre o mesmo par previamente definido</w:t>
      </w:r>
    </w:p>
    <w:p>
      <w:pPr>
        <w:pStyle w:val="CodeBlock"/>
      </w:pPr>
      <w:r>
        <w:t>[ENVIO POR E-MAIL]        [ON/OFF]</w:t>
      </w:r>
    </w:p>
    <w:p>
      <w:pPr>
        <w:pStyle w:val="CodeBlock"/>
      </w:pPr>
      <w:r>
        <w:t>[ENVIO POR WHATSAPP]      [ON/OFF]</w:t>
      </w:r>
    </w:p>
    <w:p>
      <w:pPr>
        <w:pStyle w:val="CodeBlock"/>
      </w:pPr>
      <w:r>
        <w:t>[ARQUIVAR NO DRIVE]       [ON/OFF]</w:t>
      </w:r>
    </w:p>
    <w:p>
      <w:r>
        <w:t>Regra recomendada: apenas um provedor ativo por documento. Os demais toggles podem coexistir. A UI deve impedir estados conflitantes, por exemplo, “modo aleatório” e “modo par fixo” ligados ao mesmo tempo.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6. TESTEMUNHAS FIXAS DA CLÍNICA – MODELAGEM E GOVERNANÇA</w:t>
            </w:r>
          </w:p>
        </w:tc>
      </w:tr>
    </w:tbl>
    <w:p/>
    <w:p>
      <w:r>
        <w:t>Sim, é plenamente viável colocar testemunhas fixas da clínica dentro do sistema. A forma correta é criar um CRUD próprio de testemunhas internas, com possibilidade de ativação, inativação, par padrão e seleção aleatória. Isso não significa que toda assinatura deva obrigatoriamente depender delas; significa que o sistema ficará preparado para quando você quiser elevar a robustez documental de determinados fluxos.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5B5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5B5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5B5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Obrigatório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5B5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Exemplo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5B5B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nome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Nome completo da testemunha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MARIA ALVES COSTA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Mostrar no documento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cpf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CPF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000.000.000-00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Guardar mascarado na tela pública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cargo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Função interna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ADMINISTRATIVO JURÍDICO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Ajuda a explicar vínculo institucional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ativa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Disponível para seleção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Usado na seleção aleatória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par_preferencial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Agrupamento lógico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Não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PAR A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Permite pares fixos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ordem_assinatura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Sequência de assinatura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Não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3 ou 4</w:t>
            </w:r>
          </w:p>
        </w:tc>
        <w:tc>
          <w:tcPr>
            <w:tcW w:type="dxa" w:w="19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Útil quando médico e clínica também assinam</w:t>
            </w:r>
          </w:p>
        </w:tc>
      </w:tr>
    </w:tbl>
    <w:p>
      <w:r>
        <w:t>Recomendação funcional: permitir cadastro de 4 a 5 testemunhas, com dois modos de uso. No modo aleatório, o sistema escolhe automaticamente duas testemunhas ativas. No modo fixo, você define um par institucional padrão. Isso atende ao seu desejo de flexibilidade sem travar o fluxo clínico.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7. ASSINATURA DO MÉDICO E DA CLÍNICA</w:t>
            </w:r>
          </w:p>
        </w:tc>
      </w:tr>
    </w:tbl>
    <w:p/>
    <w:p>
      <w:r>
        <w:t>O sistema deve prever signatários distintos: clínica, médico, paciente e, quando ativado, testemunhas. A assinatura do médico não precisa estar em todos os documentos. O toggle deve existir para que o fluxo seja configurável por tipo documental. Já a clínica pode atuar como signatária institucional nos documentos que envolvam contratação, regras internas, orçamento formal ou aceite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A6A2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Tipo documental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A6A2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Paciente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A6A2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Médico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8A6A2D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Testemunhas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TCLE / consentimento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Opcional por regra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Opcional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Autorização de procedimento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Recomendado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Opcional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Orçamento formal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Opcional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Opcional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Contrato / aditivo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Recomendado ou clínica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Recomendado se desejado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Documento institucional sensível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 ou responsável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Sim / clínica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Recomendado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8. HIDRATAÇÃO SEMÂNTICA, TEMPLATES E REIFICAÇÃO</w:t>
            </w:r>
          </w:p>
        </w:tc>
      </w:tr>
    </w:tbl>
    <w:p/>
    <w:p>
      <w:r>
        <w:t>O Dr. Replit deverá implementar hidratação semântica total dos templates, isto é, substituir marcadores por dados vivos do cadastro, da clínica, do médico e do contexto documental. Cada template deve ter versionamento, tipo, categoria, lista de placeholders e validações mínimas antes do envio ao provedor.</w:t>
      </w:r>
    </w:p>
    <w:p>
      <w:pPr>
        <w:pStyle w:val="CodeBlock"/>
      </w:pPr>
      <w:r>
        <w:t>{{NOME_PACIENTE}}</w:t>
      </w:r>
    </w:p>
    <w:p>
      <w:pPr>
        <w:pStyle w:val="CodeBlock"/>
      </w:pPr>
      <w:r>
        <w:t>{{CPF_PACIENTE}}</w:t>
      </w:r>
    </w:p>
    <w:p>
      <w:pPr>
        <w:pStyle w:val="CodeBlock"/>
      </w:pPr>
      <w:r>
        <w:t>{{NOME_MEDICO}}</w:t>
      </w:r>
    </w:p>
    <w:p>
      <w:pPr>
        <w:pStyle w:val="CodeBlock"/>
      </w:pPr>
      <w:r>
        <w:t>{{NOME_CLINICA}}</w:t>
      </w:r>
    </w:p>
    <w:p>
      <w:pPr>
        <w:pStyle w:val="CodeBlock"/>
      </w:pPr>
      <w:r>
        <w:t>{{TESTEMUNHA_1_NOME}}</w:t>
      </w:r>
    </w:p>
    <w:p>
      <w:pPr>
        <w:pStyle w:val="CodeBlock"/>
      </w:pPr>
      <w:r>
        <w:t>{{TESTEMUNHA_2_NOME}}</w:t>
      </w:r>
    </w:p>
    <w:p>
      <w:pPr>
        <w:pStyle w:val="CodeBlock"/>
      </w:pPr>
      <w:r>
        <w:t>{{DATA_EXTENSO}}</w:t>
      </w:r>
    </w:p>
    <w:p>
      <w:pPr>
        <w:pStyle w:val="CodeBlock"/>
      </w:pPr>
      <w:r>
        <w:t>{{PROCEDIMENTO}}</w:t>
      </w:r>
    </w:p>
    <w:p>
      <w:pPr>
        <w:pStyle w:val="CodeBlock"/>
      </w:pPr>
      <w:r>
        <w:t>{{VALOR_ORCAMENTO}}</w:t>
      </w:r>
    </w:p>
    <w:p>
      <w:r>
        <w:t>Reificação total significa que o sistema não guarda apenas “o PDF final”. Ele guarda a história técnica do documento. Cada assinatura concluída deverá gerar: documento original renderizado, documento final assinado, comprovante/auditoria do provedor, payload sanitizado do webhook, identificador interno, hash, canal de envio, data de entrega, data de assinatura e local de arquivamento.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9. MODELO DE IMPLEMENTAÇÃO TÉCNICA</w:t>
            </w:r>
          </w:p>
        </w:tc>
      </w:tr>
    </w:tbl>
    <w:p/>
    <w:p>
      <w:r>
        <w:t>Tabelas sugeridas:</w:t>
      </w:r>
    </w:p>
    <w:p>
      <w:pPr>
        <w:pStyle w:val="CodeBlock"/>
      </w:pPr>
      <w:r>
        <w:t>signature_providers</w:t>
      </w:r>
    </w:p>
    <w:p>
      <w:pPr>
        <w:pStyle w:val="CodeBlock"/>
      </w:pPr>
      <w:r>
        <w:t>document_templates</w:t>
      </w:r>
    </w:p>
    <w:p>
      <w:pPr>
        <w:pStyle w:val="CodeBlock"/>
      </w:pPr>
      <w:r>
        <w:t>document_requests</w:t>
      </w:r>
    </w:p>
    <w:p>
      <w:pPr>
        <w:pStyle w:val="CodeBlock"/>
      </w:pPr>
      <w:r>
        <w:t>document_signers</w:t>
      </w:r>
    </w:p>
    <w:p>
      <w:pPr>
        <w:pStyle w:val="CodeBlock"/>
      </w:pPr>
      <w:r>
        <w:t>witness_registry</w:t>
      </w:r>
    </w:p>
    <w:p>
      <w:pPr>
        <w:pStyle w:val="CodeBlock"/>
      </w:pPr>
      <w:r>
        <w:t>webhook_events</w:t>
      </w:r>
    </w:p>
    <w:p>
      <w:pPr>
        <w:pStyle w:val="CodeBlock"/>
      </w:pPr>
      <w:r>
        <w:t>document_artifacts</w:t>
      </w:r>
    </w:p>
    <w:p>
      <w:pPr>
        <w:pStyle w:val="CodeBlock"/>
      </w:pPr>
      <w:r>
        <w:t>notification_dispatches</w:t>
      </w:r>
    </w:p>
    <w:p>
      <w:r>
        <w:t>A camada de serviço deve expor uma interface única, por exemplo SignatureProviderAdapter, com implementações para Clicksign e ZapSign. O resto do sistema conversa apenas com o adapter, e não diretamente com os provedores.</w:t>
      </w:r>
    </w:p>
    <w:p>
      <w:pPr>
        <w:pStyle w:val="CodeBlock"/>
      </w:pPr>
      <w:r>
        <w:t>createDocumentEnvelope(payload)</w:t>
      </w:r>
    </w:p>
    <w:p>
      <w:pPr>
        <w:pStyle w:val="CodeBlock"/>
      </w:pPr>
      <w:r>
        <w:t>sendForSignature(payload)</w:t>
      </w:r>
    </w:p>
    <w:p>
      <w:pPr>
        <w:pStyle w:val="CodeBlock"/>
      </w:pPr>
      <w:r>
        <w:t>getDocumentStatus(provider_document_id)</w:t>
      </w:r>
    </w:p>
    <w:p>
      <w:pPr>
        <w:pStyle w:val="CodeBlock"/>
      </w:pPr>
      <w:r>
        <w:t>handleWebhook(event)</w:t>
      </w:r>
    </w:p>
    <w:p>
      <w:pPr>
        <w:pStyle w:val="CodeBlock"/>
      </w:pPr>
      <w:r>
        <w:t>downloadSignedArtifact(provider_document_id)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10. TEXTO ESTRATÉGICO PARA O PACIENTE – TOM SUTIL, NOBRE E ELEGANTE</w:t>
            </w:r>
          </w:p>
        </w:tc>
      </w:tr>
    </w:tbl>
    <w:p/>
    <w:p>
      <w:r>
        <w:t>A comunicação não deve “ensinar direito digital” ao paciente. Ela deve apenas transmitir serenidade, organização e proteção. O tom precisa soar institucional, clássico, cordial e leve. A melhor mensagem não enfatiza burocracia; enfatiza cuidado, clareza e segurança.</w:t>
      </w:r>
    </w:p>
    <w:p>
      <w:r>
        <w:rPr>
          <w:b/>
        </w:rPr>
        <w:t>TÍTULO RECOMENDADO DO E-MAIL</w:t>
      </w:r>
    </w:p>
    <w:p>
      <w:pPr>
        <w:pStyle w:val="CodeBlock"/>
      </w:pPr>
      <w:r>
        <w:t>INSTITUTO PÁDUA | DOCUMENTO DE ATENDIMENTO | DR. CAIO HENRIQUE PÁDUA</w:t>
      </w:r>
    </w:p>
    <w:p>
      <w:r>
        <w:rPr>
          <w:b/>
        </w:rPr>
        <w:t>CORPO DO E-MAIL – VERSÃO PADRÃO</w:t>
      </w:r>
    </w:p>
    <w:p>
      <w:pPr>
        <w:spacing w:after="60"/>
      </w:pPr>
      <w:r>
        <w:t>Olá, [NOME].</w:t>
      </w:r>
    </w:p>
    <w:p>
      <w:pPr>
        <w:spacing w:after="60"/>
      </w:pPr>
      <w:r>
        <w:t>Encaminhamos, por este e-mail, o seu documento de atendimento para leitura e assinatura digital.</w:t>
      </w:r>
    </w:p>
    <w:p>
      <w:pPr>
        <w:spacing w:after="60"/>
      </w:pPr>
      <w:r>
        <w:t>Esse processo foi adotado para trazer mais clareza, organização e segurança ao seu acompanhamento, preservando de forma simples e confortável as informações do seu atendimento.</w:t>
      </w:r>
    </w:p>
    <w:p>
      <w:pPr>
        <w:spacing w:after="60"/>
      </w:pPr>
      <w:r>
        <w:t>A assinatura pode ser feita pelo celular, em poucos instantes.</w:t>
      </w:r>
    </w:p>
    <w:p>
      <w:pPr>
        <w:spacing w:after="60"/>
      </w:pPr>
      <w:r>
        <w:t>Se preferir, nossa equipe poderá lhe orientar durante todo o processo.</w:t>
      </w:r>
    </w:p>
    <w:p>
      <w:pPr>
        <w:spacing w:after="60"/>
      </w:pPr>
      <w:r>
        <w:t>Com consideração,</w:t>
      </w:r>
    </w:p>
    <w:p>
      <w:pPr>
        <w:spacing w:after="60"/>
      </w:pPr>
      <w:r>
        <w:t>INSTITUTO PÁDUA</w:t>
      </w:r>
    </w:p>
    <w:p>
      <w:pPr>
        <w:spacing w:after="60"/>
      </w:pPr>
      <w:r>
        <w:t>DR. CAIO HENRIQUE PÁDUA</w:t>
      </w:r>
    </w:p>
    <w:p>
      <w:r>
        <w:rPr>
          <w:b/>
        </w:rPr>
        <w:t>WHATSAPP – ENVIO INICIAL</w:t>
      </w:r>
    </w:p>
    <w:p>
      <w:pPr>
        <w:spacing w:after="60"/>
      </w:pPr>
      <w:r>
        <w:t>Olá, [NOME]. Tudo bem?</w:t>
      </w:r>
    </w:p>
    <w:p>
      <w:pPr>
        <w:spacing w:after="60"/>
      </w:pPr>
      <w:r>
        <w:t>Aqui é do Instituto Pádua.</w:t>
      </w:r>
    </w:p>
    <w:p>
      <w:pPr>
        <w:spacing w:after="60"/>
      </w:pPr>
      <w:r>
        <w:t>Segue o seu documento de atendimento para leitura e assinatura digital. O processo é simples e pode ser feito diretamente pelo celular.</w:t>
      </w:r>
    </w:p>
    <w:p>
      <w:pPr>
        <w:spacing w:after="60"/>
      </w:pPr>
      <w:r>
        <w:t>Caso deseje, nossa equipe poderá lhe acompanhar em cada etapa.</w:t>
      </w:r>
    </w:p>
    <w:p>
      <w:pPr>
        <w:spacing w:after="60"/>
      </w:pPr>
      <w:r>
        <w:t>Com carinho e atenção,</w:t>
      </w:r>
    </w:p>
    <w:p>
      <w:pPr>
        <w:spacing w:after="60"/>
      </w:pPr>
      <w:r>
        <w:t>Instituto Pádua</w:t>
      </w:r>
    </w:p>
    <w:p>
      <w:r>
        <w:rPr>
          <w:b/>
        </w:rPr>
        <w:t>WHATSAPP – PÓS-ASSINATURA</w:t>
      </w:r>
    </w:p>
    <w:p>
      <w:pPr>
        <w:spacing w:after="60"/>
      </w:pPr>
      <w:r>
        <w:t>Olá, [NOME].</w:t>
      </w:r>
    </w:p>
    <w:p>
      <w:pPr>
        <w:spacing w:after="60"/>
      </w:pPr>
      <w:r>
        <w:t>Seu documento foi concluído com sucesso.</w:t>
      </w:r>
    </w:p>
    <w:p>
      <w:pPr>
        <w:spacing w:after="60"/>
      </w:pPr>
      <w:r>
        <w:t>Encaminhamos, neste momento, a sua cópia assinada para sua guarda e consulta sempre que necessário.</w:t>
      </w:r>
    </w:p>
    <w:p>
      <w:pPr>
        <w:spacing w:after="60"/>
      </w:pPr>
      <w:r>
        <w:t>Permanecemos à disposição.</w:t>
      </w:r>
    </w:p>
    <w:p>
      <w:pPr>
        <w:spacing w:after="60"/>
      </w:pPr>
      <w:r>
        <w:t>Instituto Pádua</w:t>
      </w:r>
    </w:p>
    <w:p>
      <w:r>
        <w:rPr>
          <w:b/>
        </w:rPr>
        <w:t>MICROTEXTO EXPLICATIVO DENTRO DA TELA DE ASSINATURA</w:t>
      </w:r>
    </w:p>
    <w:p>
      <w:pPr>
        <w:pStyle w:val="CodeBlock"/>
      </w:pPr>
      <w:r>
        <w:t>Para sua tranquilidade, este documento é assinado digitalmente e arquivado com segurança, preservando clareza e organização no seu atendimento.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11. AUTOMAÇÕES OBRIGATÓRIAS APÓS A CONCLUSÃO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C6E71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C6E71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Ação automática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3C6E71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Critério mínimo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Google Drive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Salvar PDF final assinado + comprovante/auditoria + log técnico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Localizar pasta do paciente via metadados do cadastro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E-mail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Enviar cópia final com mensagem institucional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Usar assunto padronizado e anexar PDF final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center"/>
            </w:pPr>
            <w:r>
              <w:t>WhatsApp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Enviar confirmação + arquivo ou link seguro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 w:line="240" w:lineRule="auto"/>
              <w:jc w:val="left"/>
            </w:pPr>
            <w:r>
              <w:t>Enviar imediatamente após webhook de conclusão</w:t>
            </w:r>
          </w:p>
        </w:tc>
      </w:tr>
    </w:tbl>
    <w:p>
      <w:r>
        <w:t>As três saídas são obrigatórias quando os toggles correspondentes estiverem ativos. O status interno do documento só deve ser marcado como “finalizado” quando o sistema confirmar o arquivamento e os disparos principais.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12. BOAS PRÁTICAS DE VALIDAÇÃO E SEGURANÇA</w:t>
            </w:r>
          </w:p>
        </w:tc>
      </w:tr>
    </w:tbl>
    <w:p/>
    <w:p>
      <w:pPr>
        <w:pStyle w:val="ListBullet"/>
      </w:pPr>
      <w:r>
        <w:t>Validar assinatura/autenticidade do webhook antes de qualquer processamento interno.</w:t>
      </w:r>
    </w:p>
    <w:p>
      <w:pPr>
        <w:pStyle w:val="ListBullet"/>
      </w:pPr>
      <w:r>
        <w:t>Evitar duplicidade de execução com idempotência por event_id.</w:t>
      </w:r>
    </w:p>
    <w:p>
      <w:pPr>
        <w:pStyle w:val="ListBullet"/>
      </w:pPr>
      <w:r>
        <w:t>Guardar arquivos em pasta do paciente por ID e não apenas por nome.</w:t>
      </w:r>
    </w:p>
    <w:p>
      <w:pPr>
        <w:pStyle w:val="ListBullet"/>
      </w:pPr>
      <w:r>
        <w:t>Registrar falhas de envio e permitir reprocessamento seguro.</w:t>
      </w:r>
    </w:p>
    <w:p>
      <w:pPr>
        <w:pStyle w:val="ListBullet"/>
      </w:pPr>
      <w:r>
        <w:t>Proteger dados sensíveis em logs e interfaces administrativas.</w:t>
      </w:r>
    </w:p>
    <w:p>
      <w:pPr>
        <w:pStyle w:val="ListBullet"/>
      </w:pPr>
      <w:r>
        <w:t>Permitir auditoria posterior por documento, paciente, provedor e período.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2C2C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BandHeader"/>
              <w:jc w:val="left"/>
            </w:pPr>
            <w:r>
              <w:t>13. DIRETRIZ FINAL AO DR. REPLIT</w:t>
            </w:r>
          </w:p>
        </w:tc>
      </w:tr>
    </w:tbl>
    <w:p/>
    <w:p>
      <w:pPr>
        <w:spacing w:line="276" w:lineRule="auto" w:after="120"/>
      </w:pPr>
      <w:r>
        <w:t>Dr. Replit, a implantação deverá ser conduzida como uma anastomose limpa, sem improvisos locais e sem acoplamentos frágeis. O objetivo não é apenas fazer “assinar um PDF”; o objetivo é construir um módulo jurídico-operacional elegante, auditável, expansível e humano na experiência do paciente.</w:t>
      </w:r>
    </w:p>
    <w:p>
      <w:pPr>
        <w:spacing w:line="276" w:lineRule="auto" w:after="120"/>
      </w:pPr>
      <w:r>
        <w:t>A base do sistema deve receber este módulo como um componente vivo. Ele precisa conversar com o cadastro do paciente, com os templates, com o banco relacional, com o Google Drive, com os canais de mensagem e com o painel administrativo, sem ruído e sem retrabalho.</w:t>
      </w:r>
    </w:p>
    <w:p>
      <w:pPr>
        <w:spacing w:line="276" w:lineRule="auto" w:after="120"/>
      </w:pPr>
      <w:r>
        <w:t>Favor entregar a implantação com modelos prontos, exemplos preenchidos, hidratação semântica funcional, toggles administrativos, CRUD de testemunhas, pares fixos e seleção aleatória, webhooks validados, automações multicamadas e reificação total dos artefatos. A execução deve ser nobre, sóbria e tecnicamente impecável.</w:t>
      </w:r>
    </w:p>
    <w:p>
      <w:pPr>
        <w:pStyle w:val="SmallGray"/>
        <w:jc w:val="center"/>
      </w:pPr>
      <w:r>
        <w:t>Documento de arquitetura e manifestação executiva para implantação no ecossistema PAU ARTS – Instituto Pádua.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dHeader">
    <w:name w:val="BandHeader"/>
    <w:rPr>
      <w:rFonts w:ascii="Arial" w:hAnsi="Arial" w:eastAsia="Arial"/>
      <w:b/>
      <w:color w:val="FFFFFF"/>
      <w:sz w:val="22"/>
    </w:rPr>
  </w:style>
  <w:style w:type="paragraph" w:customStyle="1" w:styleId="CodeBlock">
    <w:name w:val="CodeBlock"/>
    <w:rPr>
      <w:rFonts w:ascii="Courier New" w:hAnsi="Courier New" w:eastAsia="Courier New"/>
      <w:sz w:val="18"/>
    </w:rPr>
  </w:style>
  <w:style w:type="paragraph" w:customStyle="1" w:styleId="SmallGray">
    <w:name w:val="SmallGray"/>
    <w:rPr>
      <w:rFonts w:ascii="Arial" w:hAnsi="Arial" w:eastAsia="Arial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