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[CLÁUSULA 001]</w:t>
      </w:r>
    </w:p>
    <w:p>
      <w:r>
        <w:t>Cláusula 1 -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>
      <w:r>
        <w:rPr>
          <w:i/>
        </w:rPr>
        <w:t>--- Fim da Cláusula 1 ---</w:t>
      </w:r>
    </w:p>
    <w:p/>
    <w:p>
      <w:r>
        <w:rPr>
          <w:b/>
        </w:rPr>
        <w:t>[CLÁUSULA 002]</w:t>
      </w:r>
    </w:p>
    <w:p>
      <w:r>
        <w:t>Cláusula 2 -</w:t>
      </w:r>
    </w:p>
    <w:p>
      <w:r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e seus familiares, por qualquer assessor ou representante de cada parte,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p>
      <w:r>
        <w:rPr>
          <w:i/>
        </w:rPr>
        <w:t>--- Fim da Cláusula 2 ---</w:t>
      </w:r>
    </w:p>
    <w:p/>
    <w:p>
      <w:r>
        <w:rPr>
          <w:b/>
        </w:rPr>
        <w:t>[CLÁUSULA 003]</w:t>
      </w:r>
    </w:p>
    <w:p>
      <w:r>
        <w:t>Cláusula 3 -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- Cláusula violada: Tratamento de Dados Pessoais (escopo e faltas de clarificações operacionais)</w:t>
        <w:br/>
        <w:t>- Localização: cláusulas 6.1 a 6.6 (Tratamento de Dados / Dados Pessoais)</w:t>
        <w:br/>
        <w:t>- Motivo:</w:t>
        <w:br/>
        <w:t xml:space="preserve"> 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t>
        <w:br/>
        <w:t xml:space="preserve">  2. O tratamento de dados não especifica claramente prazos de retenção, bases legais / finalidades detalhadas nem mecanismos operacionais de proteção e anonimização/eliminação alinhados à prática de governança de dados preferida pela Spectra.</w:t>
        <w:br/>
        <w:t xml:space="preserve">  3. Embora exista previsão de divulgação obrigatória a autoridades (cl. 6.4), o regime de dados carece de exceções e salvaguardas específicas no próprio capítulo de dados, o que aumenta risco de interpretação restritiva ou operacionalmente insuficiente.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  <w:br/>
        <w:t>A Parte Receptora poderá compartilhar Dados Pessoais caso estritamente necessário para propósitos específicos, com empresas de tecnologia voltada à prevenção a fraudes.</w:t>
        <w:br/>
        <w:t>A Parte Receptora poderá fornecer Dados Pessoais sempre que estiver obrigado, seja em virtude de ato de autoridade competente, disposição legal ou ordem judicial.</w:t>
        <w:br/>
        <w:t>O titular dos Dados Pessoais, tem direito a obter, com relação aos seus dados tratados pela Parte Receptora, nos termos da regulamentação: (a) correção de dados incompletos, inexatos ou desatualizados; (b) a anonimização ou eliminação de Dados Pessoais desnecessários, excessivos ou tratados em desconformidade com a Lei Geral de Proteção de Dados; e (c) portabilidade dos dados a outros fornecedores de serviço, observados os segredos comercial e industrial.</w:t>
        <w:br/>
        <w:t>Mesmo após o término deste Acordo, tantos os Dados Pessoais, bem como outras informações a ele relacionadas, ponderação ser conservados pela Parte Receptora, para fins de cumprimento de obrigações legais e regulatórias, bem como para o exercício regular de direitos, observados os prazos previstos na legislação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