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[CLÁUSULA 001]</w:t>
      </w:r>
    </w:p>
    <w:p>
      <w:r>
        <w:t>Cláusula 1 -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r>
        <w:rPr>
          <w:i/>
        </w:rPr>
        <w:t>--- Fim da Cláusula 1 ---</w:t>
      </w:r>
    </w:p>
    <w:p/>
    <w:p>
      <w:r>
        <w:rPr>
          <w:b/>
        </w:rPr>
        <w:t>[CLÁUSULA 002]</w:t>
      </w:r>
    </w:p>
    <w:p>
      <w:r>
        <w:t>Cláusula 2 -</w:t>
      </w:r>
    </w:p>
    <w:p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>
      <w:r>
        <w:rPr>
          <w:i/>
        </w:rPr>
        <w:t>--- Fim da Cláusula 2 ---</w:t>
      </w:r>
    </w:p>
    <w:p/>
    <w:p>
      <w:r>
        <w:rPr>
          <w:b/>
        </w:rPr>
        <w:t>[CLÁUSULA 003]</w:t>
      </w:r>
    </w:p>
    <w:p>
      <w:r>
        <w:t>Cláusula 3 -</w:t>
      </w:r>
    </w:p>
    <w:p>
      <w:r>
        <w:t>11. Duração da Confidencialidade.  As partes deverão proteger a Informação Confidencial pelo prazo de 24 (vinte e quatro) meses, contados do término da Transação citada no considerando acima.</w:t>
      </w:r>
    </w:p>
    <w:p>
      <w:r>
        <w:rPr>
          <w:i/>
        </w:rPr>
        <w:t>--- Fim da Cláusula 3 ---</w:t>
      </w:r>
    </w:p>
    <w:p/>
    <w:p>
      <w:r>
        <w:rPr>
          <w:b/>
        </w:rPr>
        <w:t>[CLÁUSULA 004]</w:t>
      </w:r>
    </w:p>
    <w:p>
      <w:r>
        <w:t>Cláusula 4 -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