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Cláusula 1 -</w:t>
      </w:r>
    </w:p>
    <w:p>
      <w:r>
        <w:t>Informações Confidenciais.</w:t>
        <w:br/>
        <w:t xml:space="preserve"> Serão consideradas confidenciais as seguintes informações (“Informação(ões) Confidencial(is)”):</w:t>
        <w:br/>
        <w:t>(i) a existência de entendimentos entre as Partes com relação à eventual Transação;</w:t>
        <w:br/>
        <w:t>(ii) todos os termos e condições negociados pelas Partes no contexto de uma eventual Transação;</w:t>
        <w:br/>
        <w:t>(iii) toda e qualquer informação relativa as partes e seus negócios, inclusive informações sobre sociedades, fundos ou sociedades investidas de fundos em que a parte participe na qualidade de sócia, acionista ou gestora, que venham a ser disponibilizadas uma para a outra e seus familiares, por qualquer assessor ou representante de cada parte, tais como, entre outras, informações de natureza comercial, técnica, jurídica, financeira, operacional, ambiental, administrativa, mercadológica e econômica;</w:t>
        <w:br/>
        <w:t>(v) todo e qualquer material que venha a ser produzido pelas partes ou qualquer de seus representantes com base em Informação Confidencial ou mediante a utilização de Informação Confidencial.</w:t>
      </w:r>
    </w:p>
    <w:p/>
    <w:p>
      <w:r>
        <w:t>Cláusula 2 -</w:t>
      </w:r>
    </w:p>
    <w:p>
      <w:r>
        <w:t>15. Indenização. A Parte Receptora será responsável pelo cumprimento deste Acordo, por si, por seus representantes e afiliadas e deverá indenizar e manter a salvo a Parte Divulgadora de quaisquer perdas, danos diretos causados à Parte Reveladora, decorrentes de violação deste Acordo.</w:t>
      </w:r>
    </w:p>
    <w:p/>
    <w:p>
      <w:r>
        <w:t>Cláusula 3 -</w:t>
      </w:r>
    </w:p>
    <w:p>
      <w:r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>(ii) for comprovadamente de conhecimento da Parte Receptora antes de ter sido compartilhada pela Parte Reveladora ou seus respectivos assessores e representantes; e</w:t>
        <w:br/>
        <w:t>(iii) for divulgada à Parte Receptora por terceiros que não guardem qualquer relação com a Transação e, simultaneamente, não estejam sujeitos à qualquer obrigação de confidencialidade nos termos deste contrato.</w:t>
      </w:r>
    </w:p>
    <w:p/>
    <w:p>
      <w:r>
        <w:t>Cláusula 4 -</w:t>
      </w:r>
    </w:p>
    <w:p>
      <w:r>
        <w:t xml:space="preserve">Tratamento de dados. </w:t>
        <w:br/>
        <w:t>Para fins do que consta nesta cláusula e seguintes, “Dados Pessoais” se refere a qualquer informação relacionada aos representantes legais da Parte Reveladora.</w:t>
        <w:br/>
        <w:t xml:space="preserve">Nos termos da Lei 13.709/2018 (“Lei Geral de Proteção de Dado”), a Parte Receptora, bem como seus 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</w:t>
        <w:br/>
        <w:t>A Parte Receptora, tanto quanto seus representantes legais estão cientes de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(b)analisar risco de crédito; (c) proporcionar maior segurança e prevenir fraudes; (d) empecer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legitimas, como prestação de serviços em benefício da Parte Reveladora e/ou de seus representantes legais, sempre com a estrita observância à Lei Geral de Proteção de Dados,.</w:t>
        <w:br/>
        <w:t>A Parte Receptora poderá compartilhar Dados Pessoais caso estritamente necessário para propósitos específicos, com empresas de tecnologia voltada à prevenção a fraudes.</w:t>
        <w:br/>
        <w:t>A Parte Receptora poderá fornecer Dados Pessoais sempre que estiver obrigado, seja em virtude de ato de autoridade competente, disposição legal ou ordem judicial.</w:t>
        <w:br/>
        <w:t>O titular dos Dados Pessoais, tem direito a obter, com relação aos seus dados tratados pela Parte Receptora, nos termos da regulamentação: (a) correção de dados incompletos, inexatos ou desatualizados; (b) a anonimização ou eliminação de Dados Pessoais desnecessários, excessivos ou tratados em desconformidade com a Lei Geral de Proteção de Dados; e (c) portabilidade dos dados a outros fornecedores de serviço, observados os segredos comercial e industrial.</w:t>
        <w:br/>
        <w:t>Mesmo após o término deste Acordo, tantos os Dados Pessoais, bem como outras informações a ele relacionadas, ponderação ser conservados pela Parte Receptora, para fins de cumprimento de obrigações legais e regulatórias, bem como para o exercício regular de direitos, observados os prazos previstos na legislação vigente.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