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Cláusula 1 -</w:t>
      </w:r>
    </w:p>
    <w:p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/>
    <w:p>
      <w:r>
        <w:t>Cláusula 2 -</w:t>
      </w:r>
    </w:p>
    <w:p>
      <w:r>
        <w:t xml:space="preserve">Acesso às Informações Confidenciais. </w:t>
        <w:br/>
        <w:t xml:space="preserve"> As partes permitirão o acesso à Informação Confidencial apenas a seus empregados e assessores que necessitem ter acesso à Informação Confidencial para tratar diretamente da Transação (“Representantes”), devendo tais Representantes ser informados concordar com as obrigações de confidencialidade aqui estabelecidas.  A Parte Receptora reconhece e aceita, neste ato, ser o único e exclusivo responsável, perante a Parte Reveladora, pela manutenção da confidencialidade das Informações Confidenciais por parte de seus Representantes.</w:t>
      </w:r>
    </w:p>
    <w:p/>
    <w:p>
      <w:r>
        <w:t>Cláusula 3 -</w:t>
      </w:r>
    </w:p>
    <w:p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/>
    <w:p>
      <w:r>
        <w:t>Cláusula 4 -</w:t>
      </w:r>
    </w:p>
    <w:p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  <w:br/>
        <w:t>A Parte Receptora poderá compartilhar Dados Pessoais caso estritamente necessário para propósitos específicos, com empresas de tecnologia voltada à prevenção a fraudes.</w:t>
        <w:br/>
        <w:t>A Parte Receptora poderá fornecer Dados Pessoais sempre que estiver obrigado, seja em virtude de ato de autoridade competente, disposição legal ou ordem judicial.</w:t>
        <w:br/>
        <w:t>O titular dos Dados Pessoais, tem direito a obter, com relação aos seus dados tratados pela Parte Receptora, nos termos da regulamentação: (a) correção de dados incompletos, inexatos ou desatualizados; (b) a anonimização ou eliminação de Dados Pessoais desnecessários, excessivos ou tratados em desconformidade com a Lei Geral de Proteção de Dados; e (c) portabilidade dos dados a outros fornecedores de serviço, observados os segredos comercial e industrial.</w:t>
        <w:br/>
        <w:t>Mesmo após o término deste Acordo, tantos os Dados Pessoais, bem como outras informações a ele relacionadas, ponderação ser conservados pela Parte Receptora, para fins de cumprimento de obrigações legais e regulatórias, bem como para o exercício regular de direitos, observados os prazos previstos na legislação vigente.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