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[CLÁUSULA 001]</w:t>
      </w:r>
    </w:p>
    <w:p>
      <w:r>
        <w:t>Cláusula 1 -</w:t>
      </w:r>
    </w:p>
    <w:p>
      <w:r>
        <w:t>Exclusão da Definição de Informação Confidencial.</w:t>
        <w:br/>
        <w:t xml:space="preserve"> 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>(ii) for comprovadamente de conhecimento da Parte Receptora antes de ter sido compartilhada pela Parte Reveladora ou seus respectivos assessores e representantes; e</w:t>
        <w:br/>
        <w:t>(iii) for divulgada à Parte Receptora por terceiros que não guardem qualquer relação com a Transação e, simultaneamente, não estejam sujeitos à qualquer obrigação de confidencialidade nos termos deste contrato.</w:t>
      </w:r>
    </w:p>
    <w:p>
      <w:r>
        <w:rPr>
          <w:i/>
        </w:rPr>
        <w:t>--- Fim da Cláusula 1 ---</w:t>
      </w:r>
    </w:p>
    <w:p/>
    <w:p>
      <w:r>
        <w:rPr>
          <w:b/>
        </w:rPr>
        <w:t>[CLÁUSULA 002]</w:t>
      </w:r>
    </w:p>
    <w:p>
      <w:r>
        <w:t>Cláusula 2 -</w:t>
      </w:r>
    </w:p>
    <w:p>
      <w:r>
        <w:t>Informações Confidenciais.</w:t>
        <w:br/>
        <w:t xml:space="preserve"> Serão consideradas confidenciais as seguintes informações (“Informação(ões) Confidencial(is)”):</w:t>
        <w:br/>
        <w:t>(i) a existência de entendimentos entre as Partes com relação à eventual Transação;</w:t>
        <w:br/>
        <w:t>(ii) todos os termos e condições negociados pelas Partes no contexto de uma eventual Transação;</w:t>
        <w:br/>
        <w:t>(iii) toda e qualquer informação relativa as partes e seus negócios, inclusive informações sobre sociedades, fundos ou sociedades investidas de fundos em que a parte participe na qualidade de sócia, acionista ou gestora, que venham a ser disponibilizadas uma para a outra e seus familiares, por qualquer assessor ou representante de cada parte, tais como, entre outras, informações de natureza comercial, técnica, jurídica, financeira, operacional, ambiental, administrativa, mercadológica e econômica;</w:t>
        <w:br/>
        <w:t>(v) todo e qualquer material que venha a ser produzido pelas partes ou qualquer de seus representantes com base em Informação Confidencial ou mediante a utilização de Informação Confidencial.</w:t>
      </w:r>
    </w:p>
    <w:p>
      <w:r>
        <w:rPr>
          <w:i/>
        </w:rPr>
        <w:t>--- Fim da Cláusula 2 ---</w:t>
      </w:r>
    </w:p>
    <w:p/>
    <w:p>
      <w:r>
        <w:rPr>
          <w:b/>
        </w:rPr>
        <w:t>[CLÁUSULA 003]</w:t>
      </w:r>
    </w:p>
    <w:p>
      <w:r>
        <w:t>Cláusula 3 -</w:t>
      </w:r>
    </w:p>
    <w:p>
      <w:r>
        <w:t xml:space="preserve">Tratamento de dados. </w:t>
        <w:br/>
        <w:t>Para fins do que consta nesta cláusula e seguintes, “Dados Pessoais” se refere a qualquer informação relacionada aos representantes legais da Parte Reveladora.</w:t>
        <w:br/>
        <w:t xml:space="preserve">Nos termos da Lei 13.709/2018 (“Lei Geral de Proteção de Dado”), a Parte Receptora, bem como seus representes legais reconhecem deverá realizar o tratamento de Dados Pessoais (conforme abaixo definido) com finalidades especificas e de acordo com as bases legais previstas na respectiva Lei Geral de Proteção de Dados, como por exemplo: para o exercício regular de direitos e para a proteção do crédito, bem como, para a execução dos contratos firmados entre as Partes, sem que necessário, para o cumprimento das obrigações legais e regulatórias ou, para qualquer outra finalidade, desde que o consentimento do titular seja coletado, o tratamento estará condicionado à manifestação livre, informada e inequívoca do titular. </w:t>
        <w:br/>
        <w:t>A Parte Receptora, tanto quanto seus representantes legais estão cientes de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(b)analisar risco de crédito; (c) proporcionar maior segurança e prevenir fraudes; (d) empecer atos relacionados à lavagem de dinheiro, bem como outros atos ilícitos; (e) propor negociação e serviços adequados e relevantes aos seus interesses e necessidades de acordo com o perfil da Parte Reveladora e/ou de seus representantes legais; e (f) demais hipóteses baseadas em finalidades legitimas, como prestação de serviços em benefício da Parte Reveladora e/ou de seus representantes legais, sempre com a estrita observância à Lei Geral de Proteção de Dados,.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