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ind w:left="510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ind w:left="510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b w:val="1"/>
          <w:bCs w:val="1"/>
          <w:sz w:val="40"/>
          <w:szCs w:val="40"/>
        </w:rPr>
      </w:pPr>
      <w:bookmarkStart w:colFirst="0" w:colLast="0" w:name="_heading=h.gjdgxs" w:id="0"/>
      <w:bookmarkEnd w:id="0"/>
      <w:r w:rsidDel="00000000" w:rsidR="00000000" w:rsidRPr="00000000">
        <w:rPr>
          <w:rFonts w:ascii="Times New Roman" w:cs="Times New Roman" w:eastAsia="Times New Roman" w:hAnsi="Times New Roman"/>
          <w:b w:val="1"/>
          <w:bCs w:val="1"/>
          <w:sz w:val="40"/>
          <w:szCs w:val="40"/>
          <w:rtl w:val="0"/>
        </w:rPr>
        <w:t xml:space="preserve">Projeto de Graduação em Computação II (PGC) – Projeto de execução</w:t>
      </w:r>
    </w:p>
    <w:p w:rsidR="00000000" w:rsidDel="00000000" w:rsidP="00000000" w:rsidRDefault="00000000" w:rsidRPr="00000000" w14:paraId="0000000A">
      <w:pPr>
        <w:ind w:left="467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Orientandos: </w:t>
      </w:r>
    </w:p>
    <w:p w:rsidR="00000000" w:rsidDel="00000000" w:rsidP="00000000" w:rsidRDefault="00000000" w:rsidRPr="00000000" w14:paraId="0000001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Caio Cardoso dos Santos</w:t>
      </w:r>
    </w:p>
    <w:p w:rsidR="00000000" w:rsidDel="00000000" w:rsidP="00000000" w:rsidRDefault="00000000" w:rsidRPr="00000000" w14:paraId="0000001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Victor Ravazio de Lima</w:t>
      </w:r>
    </w:p>
    <w:p w:rsidR="00000000" w:rsidDel="00000000" w:rsidP="00000000" w:rsidRDefault="00000000" w:rsidRPr="00000000" w14:paraId="00000019">
      <w:pPr>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Orientador: </w:t>
      </w:r>
    </w:p>
    <w:p w:rsidR="00000000" w:rsidDel="00000000" w:rsidP="00000000" w:rsidRDefault="00000000" w:rsidRPr="00000000" w14:paraId="0000001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 Dr. Carlos da Silva dos Santos</w:t>
      </w:r>
    </w:p>
    <w:p w:rsidR="00000000" w:rsidDel="00000000" w:rsidP="00000000" w:rsidRDefault="00000000" w:rsidRPr="00000000" w14:paraId="0000001B">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Tema do projeto: </w:t>
      </w:r>
      <w:r w:rsidDel="00000000" w:rsidR="00000000" w:rsidRPr="00000000">
        <w:rPr>
          <w:rFonts w:ascii="Times New Roman" w:cs="Times New Roman" w:eastAsia="Times New Roman" w:hAnsi="Times New Roman"/>
          <w:rtl w:val="0"/>
        </w:rPr>
        <w:t xml:space="preserve">Análise de textos e interações em redes sociais </w:t>
      </w:r>
      <w:r w:rsidDel="00000000" w:rsidR="00000000" w:rsidRPr="00000000">
        <w:br w:type="page"/>
      </w:r>
      <w:r w:rsidDel="00000000" w:rsidR="00000000" w:rsidRPr="00000000">
        <w:rPr>
          <w:rtl w:val="0"/>
        </w:rPr>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Sumário</w:t>
      </w:r>
    </w:p>
    <w:p w:rsidR="00000000" w:rsidDel="00000000" w:rsidP="00000000" w:rsidRDefault="00000000" w:rsidRPr="00000000" w14:paraId="0000001E">
      <w:pPr>
        <w:jc w:val="center"/>
        <w:rPr/>
      </w:pPr>
      <w:r w:rsidDel="00000000" w:rsidR="00000000" w:rsidRPr="00000000">
        <w:rPr>
          <w:rtl w:val="0"/>
        </w:rPr>
      </w:r>
    </w:p>
    <w:sdt>
      <w:sdtPr>
        <w:id w:val="43057633"/>
        <w:docPartObj>
          <w:docPartGallery w:val="Table of Contents"/>
          <w:docPartUnique w:val="1"/>
        </w:docPartObj>
      </w:sdtPr>
      <w:sdtContent>
        <w:p w:rsidR="00000000" w:rsidDel="00000000" w:rsidP="00000000" w:rsidRDefault="00000000" w:rsidRPr="00000000" w14:paraId="0000001F">
          <w:pPr>
            <w:widowControl w:val="0"/>
            <w:tabs>
              <w:tab w:val="right" w:leader="none" w:pos="12000"/>
            </w:tabs>
            <w:spacing w:after="0" w:before="60" w:line="240" w:lineRule="auto"/>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pa5y4ry653e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Introdução e Justificativa</w:t>
              <w:tab/>
            </w:r>
          </w:hyperlink>
          <w:r w:rsidDel="00000000" w:rsidR="00000000" w:rsidRPr="00000000">
            <w:fldChar w:fldCharType="begin"/>
            <w:instrText xml:space="preserve"> PAGEREF _heading=h.pa5y4ry653ed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rPr>
              <w:i w:val="0"/>
              <w:iCs w:val="0"/>
              <w:smallCaps w:val="0"/>
              <w:strike w:val="0"/>
              <w:color w:val="000000"/>
              <w:sz w:val="22"/>
              <w:szCs w:val="22"/>
              <w:u w:val="none"/>
              <w:shd w:fill="auto" w:val="clear"/>
              <w:vertAlign w:val="baseline"/>
            </w:rPr>
          </w:pPr>
          <w:hyperlink w:anchor="_heading=h.vqi1n221w6j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Objetivos</w:t>
              <w:tab/>
            </w:r>
          </w:hyperlink>
          <w:r w:rsidDel="00000000" w:rsidR="00000000" w:rsidRPr="00000000">
            <w:fldChar w:fldCharType="begin"/>
            <w:instrText xml:space="preserve"> PAGEREF _heading=h.vqi1n221w6j8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rPr>
              <w:i w:val="0"/>
              <w:iCs w:val="0"/>
              <w:smallCaps w:val="0"/>
              <w:strike w:val="0"/>
              <w:color w:val="000000"/>
              <w:sz w:val="22"/>
              <w:szCs w:val="22"/>
              <w:u w:val="none"/>
              <w:shd w:fill="auto" w:val="clear"/>
              <w:vertAlign w:val="baseline"/>
            </w:rPr>
          </w:pPr>
          <w:hyperlink w:anchor="_heading=h.9488y4gkrxs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w:t>
            </w:r>
          </w:hyperlink>
          <w:hyperlink w:anchor="_heading=h.9488y4gkrxs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Referencial teórico</w:t>
            </w:r>
          </w:hyperlink>
          <w:hyperlink w:anchor="_heading=h.9488y4gkrxs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_heading=h.9488y4gkrxsl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izknwlcrvqrg">
            <w:r w:rsidDel="00000000" w:rsidR="00000000" w:rsidRPr="00000000">
              <w:rPr>
                <w:i w:val="0"/>
                <w:iCs w:val="0"/>
                <w:smallCaps w:val="0"/>
                <w:strike w:val="0"/>
                <w:color w:val="000000"/>
                <w:sz w:val="22"/>
                <w:szCs w:val="22"/>
                <w:u w:val="none"/>
                <w:shd w:fill="auto" w:val="clear"/>
                <w:vertAlign w:val="baseline"/>
                <w:rtl w:val="0"/>
              </w:rPr>
              <w:t xml:space="preserve">3.1 A definição de conflitos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i w:val="0"/>
              <w:iCs w:val="0"/>
              <w:smallCaps w:val="0"/>
              <w:strike w:val="0"/>
              <w:color w:val="000000"/>
              <w:sz w:val="22"/>
              <w:szCs w:val="22"/>
              <w:u w:val="none"/>
              <w:shd w:fill="auto" w:val="clear"/>
              <w:vertAlign w:val="baseline"/>
            </w:rPr>
          </w:pPr>
          <w:hyperlink w:anchor="_heading=h.ms7stilzc71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Materiais e métodos</w:t>
              <w:tab/>
            </w:r>
          </w:hyperlink>
          <w:r w:rsidDel="00000000" w:rsidR="00000000" w:rsidRPr="00000000">
            <w:fldChar w:fldCharType="begin"/>
            <w:instrText xml:space="preserve"> PAGEREF _heading=h.ms7stilzc71n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jl6mz9acj7wp">
            <w:r w:rsidDel="00000000" w:rsidR="00000000" w:rsidRPr="00000000">
              <w:rPr>
                <w:i w:val="0"/>
                <w:iCs w:val="0"/>
                <w:smallCaps w:val="0"/>
                <w:strike w:val="0"/>
                <w:color w:val="000000"/>
                <w:sz w:val="22"/>
                <w:szCs w:val="22"/>
                <w:u w:val="none"/>
                <w:shd w:fill="auto" w:val="clear"/>
                <w:vertAlign w:val="baseline"/>
                <w:rtl w:val="0"/>
              </w:rPr>
              <w:t xml:space="preserve">4.1 Levantamento bibliográfico</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2a6mqng86eq0">
            <w:r w:rsidDel="00000000" w:rsidR="00000000" w:rsidRPr="00000000">
              <w:rPr>
                <w:i w:val="0"/>
                <w:iCs w:val="0"/>
                <w:smallCaps w:val="0"/>
                <w:strike w:val="0"/>
                <w:color w:val="000000"/>
                <w:sz w:val="22"/>
                <w:szCs w:val="22"/>
                <w:u w:val="none"/>
                <w:shd w:fill="auto" w:val="clear"/>
                <w:vertAlign w:val="baseline"/>
                <w:rtl w:val="0"/>
              </w:rPr>
              <w:t xml:space="preserve">4.2 Base de dados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d41uxqojyfmy">
            <w:r w:rsidDel="00000000" w:rsidR="00000000" w:rsidRPr="00000000">
              <w:rPr>
                <w:i w:val="0"/>
                <w:iCs w:val="0"/>
                <w:smallCaps w:val="0"/>
                <w:strike w:val="0"/>
                <w:color w:val="000000"/>
                <w:sz w:val="22"/>
                <w:szCs w:val="22"/>
                <w:u w:val="none"/>
                <w:shd w:fill="auto" w:val="clear"/>
                <w:vertAlign w:val="baseline"/>
                <w:rtl w:val="0"/>
              </w:rPr>
              <w:t xml:space="preserve">4.3 Pré-processamento dos dados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d41uxqojyfmy">
            <w:r w:rsidDel="00000000" w:rsidR="00000000" w:rsidRPr="00000000">
              <w:rPr>
                <w:i w:val="0"/>
                <w:iCs w:val="0"/>
                <w:smallCaps w:val="0"/>
                <w:strike w:val="0"/>
                <w:color w:val="000000"/>
                <w:sz w:val="22"/>
                <w:szCs w:val="22"/>
                <w:u w:val="none"/>
                <w:shd w:fill="auto" w:val="clear"/>
                <w:vertAlign w:val="baseline"/>
                <w:rtl w:val="0"/>
              </w:rPr>
              <w:t xml:space="preserve">4.4 Extração de entidades e aspectos</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ynie3i5swf2j">
            <w:r w:rsidDel="00000000" w:rsidR="00000000" w:rsidRPr="00000000">
              <w:rPr>
                <w:i w:val="0"/>
                <w:iCs w:val="0"/>
                <w:smallCaps w:val="0"/>
                <w:strike w:val="0"/>
                <w:color w:val="000000"/>
                <w:sz w:val="22"/>
                <w:szCs w:val="22"/>
                <w:u w:val="none"/>
                <w:shd w:fill="auto" w:val="clear"/>
                <w:vertAlign w:val="baseline"/>
                <w:rtl w:val="0"/>
              </w:rPr>
              <w:t xml:space="preserve">4.5 Treinamento e ajuste do modelo</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g92r7o7200xf">
            <w:r w:rsidDel="00000000" w:rsidR="00000000" w:rsidRPr="00000000">
              <w:rPr>
                <w:i w:val="0"/>
                <w:iCs w:val="0"/>
                <w:smallCaps w:val="0"/>
                <w:strike w:val="0"/>
                <w:color w:val="000000"/>
                <w:sz w:val="22"/>
                <w:szCs w:val="22"/>
                <w:u w:val="none"/>
                <w:shd w:fill="auto" w:val="clear"/>
                <w:vertAlign w:val="baseline"/>
                <w:rtl w:val="0"/>
              </w:rPr>
              <w:t xml:space="preserve">4.6 Desenvolvimento da biblioteca e documentação</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i w:val="0"/>
              <w:iCs w:val="0"/>
              <w:smallCaps w:val="0"/>
              <w:strike w:val="0"/>
              <w:color w:val="000000"/>
              <w:sz w:val="22"/>
              <w:szCs w:val="22"/>
              <w:u w:val="none"/>
              <w:shd w:fill="auto" w:val="clear"/>
              <w:vertAlign w:val="baseline"/>
            </w:rPr>
          </w:pPr>
          <w:hyperlink w:anchor="_heading=h.fxiobzau0l0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w:t>
            </w:r>
          </w:hyperlink>
          <w:hyperlink w:anchor="_heading=h.fxiobzau0l0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Resultados</w:t>
            </w:r>
          </w:hyperlink>
          <w:hyperlink w:anchor="_heading=h.fxiobzau0l0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_heading=h.fxiobzau0l0t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686lnabnw778">
            <w:r w:rsidDel="00000000" w:rsidR="00000000" w:rsidRPr="00000000">
              <w:rPr>
                <w:i w:val="0"/>
                <w:iCs w:val="0"/>
                <w:smallCaps w:val="0"/>
                <w:strike w:val="0"/>
                <w:color w:val="000000"/>
                <w:sz w:val="22"/>
                <w:szCs w:val="22"/>
                <w:u w:val="none"/>
                <w:shd w:fill="auto" w:val="clear"/>
                <w:vertAlign w:val="baseline"/>
                <w:rtl w:val="0"/>
              </w:rPr>
              <w:t xml:space="preserve">5.1 Avaliação da consistência da anotação</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9f7d34n0z2k8">
            <w:r w:rsidDel="00000000" w:rsidR="00000000" w:rsidRPr="00000000">
              <w:rPr>
                <w:i w:val="0"/>
                <w:iCs w:val="0"/>
                <w:smallCaps w:val="0"/>
                <w:strike w:val="0"/>
                <w:color w:val="000000"/>
                <w:sz w:val="22"/>
                <w:szCs w:val="22"/>
                <w:u w:val="none"/>
                <w:shd w:fill="auto" w:val="clear"/>
                <w:vertAlign w:val="baseline"/>
                <w:rtl w:val="0"/>
              </w:rPr>
              <w:t xml:space="preserve">5.1.1 Dataset temático sobre o aborto</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i w:val="0"/>
              <w:iCs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Cronograma de atividades</w:t>
              <w:tab/>
            </w:r>
          </w:hyperlink>
          <w:r w:rsidDel="00000000" w:rsidR="00000000" w:rsidRPr="00000000">
            <w:fldChar w:fldCharType="begin"/>
            <w:instrText xml:space="preserve"> PAGEREF _heading=h.tyjcwt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i w:val="0"/>
              <w:iCs w:val="0"/>
              <w:smallCaps w:val="0"/>
              <w:strike w:val="0"/>
              <w:color w:val="000000"/>
              <w:sz w:val="22"/>
              <w:szCs w:val="22"/>
              <w:u w:val="none"/>
              <w:shd w:fill="auto" w:val="clear"/>
              <w:vertAlign w:val="baseline"/>
            </w:rPr>
          </w:pPr>
          <w:hyperlink w:anchor="_heading=h.56hb1eiqmdw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Referências</w:t>
              <w:tab/>
            </w:r>
          </w:hyperlink>
          <w:r w:rsidDel="00000000" w:rsidR="00000000" w:rsidRPr="00000000">
            <w:fldChar w:fldCharType="begin"/>
            <w:instrText xml:space="preserve"> PAGEREF _heading=h.56hb1eiqmdwk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3">
      <w:pPr>
        <w:pStyle w:val="Heading1"/>
        <w:spacing w:after="120" w:lineRule="auto"/>
        <w:rPr>
          <w:rFonts w:ascii="Times New Roman" w:cs="Times New Roman" w:eastAsia="Times New Roman" w:hAnsi="Times New Roman"/>
          <w:b w:val="1"/>
          <w:bCs w:val="1"/>
          <w:color w:val="000000"/>
        </w:rPr>
      </w:pPr>
      <w:bookmarkStart w:colFirst="0" w:colLast="0" w:name="_heading=h.pa5y4ry653ed" w:id="1"/>
      <w:bookmarkEnd w:id="1"/>
      <w:r w:rsidDel="00000000" w:rsidR="00000000" w:rsidRPr="00000000">
        <w:rPr>
          <w:rFonts w:ascii="Times New Roman" w:cs="Times New Roman" w:eastAsia="Times New Roman" w:hAnsi="Times New Roman"/>
          <w:b w:val="1"/>
          <w:bCs w:val="1"/>
          <w:color w:val="000000"/>
          <w:rtl w:val="0"/>
        </w:rPr>
        <w:t xml:space="preserve">1. Introdução e Justificativa</w:t>
      </w:r>
    </w:p>
    <w:p w:rsidR="00000000" w:rsidDel="00000000" w:rsidP="00000000" w:rsidRDefault="00000000" w:rsidRPr="00000000" w14:paraId="00000044">
      <w:pPr>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avanço tecnológico e o advento das mídias sociais estabeleceram novas dinâmicas de interação e participação na sociedade contemporânea. As plataformas de mídias sociais instituíram um modelo de comunicação que transcende as fronteiras físicas, temporais e sociais, possibilitando interações entre indivíduos independentemente de uma conexão direta ou contexto social [1]. A facilidade do acesso, aliada a tamanha liberdade oferecida, transformou as redes sociais numa via primária para a comunicação interpessoal [2,3]. Até abril de 2023, cerca de 4,80 bilhões de pessoas já eram usuárias de redes sociais, o que representava, na época, impressionantes 60% da população mundial [4]. Estes números refletem a acessibilidade e flexibilidade do meio, que oferece aos seus usuários um ecossistema robusto para interações interpessoais, manifestação de opiniões, resolução de problemas, ou seja, um ambiente acessível para atuar na sociedade [5].</w:t>
      </w:r>
    </w:p>
    <w:p w:rsidR="00000000" w:rsidDel="00000000" w:rsidP="00000000" w:rsidRDefault="00000000" w:rsidRPr="00000000" w14:paraId="00000045">
      <w:pPr>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Apesar de tamanha flexibilidade ser extremamente favorável às pautas sociais, afinal as mídias sociais configuram-se como uma ferramenta de exercício democrático cujo modelo de negócio potencializa movimentos, </w:t>
      </w:r>
      <w:r w:rsidDel="00000000" w:rsidR="00000000" w:rsidRPr="00000000">
        <w:rPr>
          <w:rFonts w:ascii="Times New Roman" w:cs="Times New Roman" w:eastAsia="Times New Roman" w:hAnsi="Times New Roman"/>
          <w:sz w:val="24"/>
          <w:szCs w:val="24"/>
          <w:rtl w:val="0"/>
        </w:rPr>
        <w:t xml:space="preserve">ativismos</w:t>
      </w:r>
      <w:r w:rsidDel="00000000" w:rsidR="00000000" w:rsidRPr="00000000">
        <w:rPr>
          <w:rFonts w:ascii="Times New Roman" w:cs="Times New Roman" w:eastAsia="Times New Roman" w:hAnsi="Times New Roman"/>
          <w:sz w:val="24"/>
          <w:szCs w:val="24"/>
          <w:rtl w:val="0"/>
        </w:rPr>
        <w:t xml:space="preserve"> e engajamentos coletivos [</w:t>
      </w: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sz w:val="24"/>
          <w:szCs w:val="24"/>
          <w:rtl w:val="0"/>
        </w:rPr>
        <w:t xml:space="preserve">], o caráter aberto das plataformas, que permitem aos usuários publicar livremente e a qualquer momento, também contribui para a disseminação de conteúdos inadequados, tornando esses espaços propícios à circulação desse tipo de material [</w:t>
      </w:r>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6">
      <w:pPr>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Independentemente das visões mais positivas ou negativas acerca do papel das redes sociais, é inegável que elas ocupam uma posição central na vida contemporânea [</w:t>
      </w: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sz w:val="24"/>
          <w:szCs w:val="24"/>
          <w:rtl w:val="0"/>
        </w:rPr>
        <w:t xml:space="preserve">], afinal as redes sociais constituem, atualmente, um dos principais ambientes de expressão e confronto de ideias na esfera pública [</w:t>
      </w:r>
      <w:r w:rsidDel="00000000" w:rsidR="00000000" w:rsidRPr="00000000">
        <w:rPr>
          <w:rFonts w:ascii="Times New Roman" w:cs="Times New Roman" w:eastAsia="Times New Roman" w:hAnsi="Times New Roman"/>
          <w:rtl w:val="0"/>
        </w:rPr>
        <w:t xml:space="preserve">13</w:t>
      </w:r>
      <w:r w:rsidDel="00000000" w:rsidR="00000000" w:rsidRPr="00000000">
        <w:rPr>
          <w:rFonts w:ascii="Times New Roman" w:cs="Times New Roman" w:eastAsia="Times New Roman" w:hAnsi="Times New Roman"/>
          <w:sz w:val="24"/>
          <w:szCs w:val="24"/>
          <w:rtl w:val="0"/>
        </w:rPr>
        <w:t xml:space="preserve">] e, desta forma, compreender seu funcionamento, dinâmica de interação e principalmente os efeitos que este meio produz sobre os indivíduos torna-se, portanto, essencial [</w:t>
      </w: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identificação de conflitos e discursos de ódio em redes sociais, embora essencial para a proteção dos usuários nesses espaços, representa um desafio que tem levado empresas de mídia social e órgãos governamentais a investir no desenvolvimento de sistemas automatizados capazes de realizar essa tarefa com maior eficiência [2]. Nesse cenário, destaca-se o campo da análise de sentimentos (AS), que, nos últimos anos, tem se consolidado como uma das principais abordagens para a detecção de valências em textos e para a moderação de conteúdo em mídias sociais, impulsionado pela crescente presença dessas plataformas no cotidiano [</w:t>
      </w:r>
      <w:r w:rsidDel="00000000" w:rsidR="00000000" w:rsidRPr="00000000">
        <w:rPr>
          <w:rFonts w:ascii="Times New Roman" w:cs="Times New Roman" w:eastAsia="Times New Roman" w:hAnsi="Times New Roman"/>
          <w:rtl w:val="0"/>
        </w:rPr>
        <w:t xml:space="preserve">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de sentimentos pode ser entendida como um campo voltado à identificação automática de emoções, polaridades e demais estados afetivos, expressos em textos ou falas, por meio da aplicação de métodos e algoritmos computacionais [</w:t>
      </w:r>
      <w:r w:rsidDel="00000000" w:rsidR="00000000" w:rsidRPr="00000000">
        <w:rPr>
          <w:rFonts w:ascii="Times New Roman" w:cs="Times New Roman" w:eastAsia="Times New Roman" w:hAnsi="Times New Roman"/>
          <w:rtl w:val="0"/>
        </w:rPr>
        <w:t xml:space="preserve">10</w:t>
      </w:r>
      <w:r w:rsidDel="00000000" w:rsidR="00000000" w:rsidRPr="00000000">
        <w:rPr>
          <w:rFonts w:ascii="Times New Roman" w:cs="Times New Roman" w:eastAsia="Times New Roman" w:hAnsi="Times New Roman"/>
          <w:sz w:val="24"/>
          <w:szCs w:val="24"/>
          <w:rtl w:val="0"/>
        </w:rPr>
        <w:t xml:space="preserve">]. As bases de dados textuais utilizadas nesse tipo de análise podem ser compostas por publicações em redes sociais, avaliações de produtos, resenhas de filmes, fóruns de discussão, blogs, entre outros. Em suma, qualquer situação digital em que o usuário é instigado a expressar-se de maneira emocional por meio de textos, a análise de sentimentos surge como um terreno fértil para investigar e monitorar manifestações emocionais em ambientes digitais [</w:t>
      </w:r>
      <w:r w:rsidDel="00000000" w:rsidR="00000000" w:rsidRPr="00000000">
        <w:rPr>
          <w:rFonts w:ascii="Times New Roman" w:cs="Times New Roman" w:eastAsia="Times New Roman" w:hAnsi="Times New Roman"/>
          <w:rtl w:val="0"/>
        </w:rPr>
        <w:t xml:space="preserve">11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9">
      <w:pPr>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de sentimentos faz uso de técnicas de processamento de linguagem natural (PLN) e de métodos de análise textual para identificar e extrair as emoções expressas pelos autores em suas publicações ou mensagens, as quais podem apresentar polaridade positiva, negativa ou neutra, conforme citado em [</w:t>
      </w:r>
      <w:r w:rsidDel="00000000" w:rsidR="00000000" w:rsidRPr="00000000">
        <w:rPr>
          <w:rFonts w:ascii="Times New Roman" w:cs="Times New Roman" w:eastAsia="Times New Roman" w:hAnsi="Times New Roman"/>
          <w:rtl w:val="0"/>
        </w:rPr>
        <w:t xml:space="preserve">12</w:t>
      </w:r>
      <w:r w:rsidDel="00000000" w:rsidR="00000000" w:rsidRPr="00000000">
        <w:rPr>
          <w:rFonts w:ascii="Times New Roman" w:cs="Times New Roman" w:eastAsia="Times New Roman" w:hAnsi="Times New Roman"/>
          <w:sz w:val="24"/>
          <w:szCs w:val="24"/>
          <w:rtl w:val="0"/>
        </w:rPr>
        <w:t xml:space="preserve">]. Esse tipo de classificação de polaridade em textos têm não apenas ampliado a compreensão sobre a forma como os indivíduos expressam sentimentos por meio da linguagem e de que modo essas emoções influenciam seus comportamentos, mas também permitido explorar oportunidades significativas anteriormente inalcançáveis em áreas como comércio, saúde pública, formulação de políticas, ciências sociais e artes [</w:t>
      </w:r>
      <w:r w:rsidDel="00000000" w:rsidR="00000000" w:rsidRPr="00000000">
        <w:rPr>
          <w:rFonts w:ascii="Times New Roman" w:cs="Times New Roman" w:eastAsia="Times New Roman" w:hAnsi="Times New Roman"/>
          <w:rtl w:val="0"/>
        </w:rPr>
        <w:t xml:space="preserve">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Devido a grande complexidade da comunicação humana em textos opinativos na internet, surgiu também uma demanda por métodos capazes de extrair insights mais específicos dentro de uma frase ou texto, identificando tanto entidades específicas quanto suas respectivas características, chamadas de aspectos. Esse cenário tem impulsionado o refinamento da área de análise de sentimentos, promovendo o surgimento de subáreas focadas neste nível de granularidade, como a análise de sentimentos baseados em aspectos (ASBA) [14].</w:t>
      </w:r>
    </w:p>
    <w:p w:rsidR="00000000" w:rsidDel="00000000" w:rsidP="00000000" w:rsidRDefault="00000000" w:rsidRPr="00000000" w14:paraId="0000004B">
      <w:pPr>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Esses aspectos podem ser expressos diretamente no texto, ou apenas sugeridos pelo contexto, e o sentimento por aspecto pode divergir do sentimento geral da frase ou documento. Além disso, é possível distinguir termos de aspecto, que representam a expressão textual concreta, de categorias de aspecto, que são rótulos mais abstratos que agrupam vários termos. Essa granularidade permite aplicações como sumarização por aspecto, recomendação personalizada e monitoramento mais preciso de opiniões em domínios específicos [14]. A ASBA funciona como uma combinação de subtarefas, sendo elas: </w:t>
      </w:r>
    </w:p>
    <w:p w:rsidR="00000000" w:rsidDel="00000000" w:rsidP="00000000" w:rsidRDefault="00000000" w:rsidRPr="00000000" w14:paraId="0000004C">
      <w:pPr>
        <w:numPr>
          <w:ilvl w:val="0"/>
          <w:numId w:val="3"/>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Extração de Aspectos</w:t>
      </w:r>
      <w:r w:rsidDel="00000000" w:rsidR="00000000" w:rsidRPr="00000000">
        <w:rPr>
          <w:rFonts w:ascii="Times New Roman" w:cs="Times New Roman" w:eastAsia="Times New Roman" w:hAnsi="Times New Roman"/>
          <w:sz w:val="24"/>
          <w:szCs w:val="24"/>
          <w:rtl w:val="0"/>
        </w:rPr>
        <w:t xml:space="preserve">: identificar quais aspectos (atributos ou alvos de opinião) aparecem no texto, podendo incluir a detecção de aspectos implícitos.</w:t>
      </w:r>
    </w:p>
    <w:p w:rsidR="00000000" w:rsidDel="00000000" w:rsidP="00000000" w:rsidRDefault="00000000" w:rsidRPr="00000000" w14:paraId="0000004D">
      <w:pPr>
        <w:numPr>
          <w:ilvl w:val="0"/>
          <w:numId w:val="3"/>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Extração de Opiniões</w:t>
      </w:r>
      <w:r w:rsidDel="00000000" w:rsidR="00000000" w:rsidRPr="00000000">
        <w:rPr>
          <w:rFonts w:ascii="Times New Roman" w:cs="Times New Roman" w:eastAsia="Times New Roman" w:hAnsi="Times New Roman"/>
          <w:sz w:val="24"/>
          <w:szCs w:val="24"/>
          <w:rtl w:val="0"/>
        </w:rPr>
        <w:t xml:space="preserve">: identificar as expressões de sentimento ligadas a um aspecto específico.</w:t>
      </w:r>
    </w:p>
    <w:p w:rsidR="00000000" w:rsidDel="00000000" w:rsidP="00000000" w:rsidRDefault="00000000" w:rsidRPr="00000000" w14:paraId="0000004E">
      <w:pPr>
        <w:numPr>
          <w:ilvl w:val="0"/>
          <w:numId w:val="3"/>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Classificação de Sentimentos em Nível de Aspecto</w:t>
      </w:r>
      <w:r w:rsidDel="00000000" w:rsidR="00000000" w:rsidRPr="00000000">
        <w:rPr>
          <w:rFonts w:ascii="Times New Roman" w:cs="Times New Roman" w:eastAsia="Times New Roman" w:hAnsi="Times New Roman"/>
          <w:sz w:val="24"/>
          <w:szCs w:val="24"/>
          <w:rtl w:val="0"/>
        </w:rPr>
        <w:t xml:space="preserve">: atribuir a cada aspecto (ou categoria de aspecto) uma polaridade ou escore de sentimento (negativo, positivo, neutro) ou categorias como “conflito”.</w:t>
      </w:r>
    </w:p>
    <w:p w:rsidR="00000000" w:rsidDel="00000000" w:rsidP="00000000" w:rsidRDefault="00000000" w:rsidRPr="00000000" w14:paraId="0000004F">
      <w:pPr>
        <w:numPr>
          <w:ilvl w:val="0"/>
          <w:numId w:val="3"/>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Detecção de Categorias de Aspectos</w:t>
      </w:r>
      <w:r w:rsidDel="00000000" w:rsidR="00000000" w:rsidRPr="00000000">
        <w:rPr>
          <w:rFonts w:ascii="Times New Roman" w:cs="Times New Roman" w:eastAsia="Times New Roman" w:hAnsi="Times New Roman"/>
          <w:sz w:val="24"/>
          <w:szCs w:val="24"/>
          <w:rtl w:val="0"/>
        </w:rPr>
        <w:t xml:space="preserve">: classificar aspectos ou trechos em categorias de aspecto de nível mais alto, quando o foco está em categorias e não apenas em termos individuais.</w:t>
      </w:r>
    </w:p>
    <w:p w:rsidR="00000000" w:rsidDel="00000000" w:rsidP="00000000" w:rsidRDefault="00000000" w:rsidRPr="00000000" w14:paraId="00000050">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Análise de Sentimentos por Categoria de Aspecto</w:t>
      </w:r>
      <w:r w:rsidDel="00000000" w:rsidR="00000000" w:rsidRPr="00000000">
        <w:rPr>
          <w:rFonts w:ascii="Times New Roman" w:cs="Times New Roman" w:eastAsia="Times New Roman" w:hAnsi="Times New Roman"/>
          <w:sz w:val="24"/>
          <w:szCs w:val="24"/>
          <w:rtl w:val="0"/>
        </w:rPr>
        <w:t xml:space="preserve">: realizar a classificação de sentimento agregada por categoria de aspecto, combinando aspectos de uma mesma categoria e atribuindo polaridade a essa categoria.</w:t>
      </w:r>
    </w:p>
    <w:p w:rsidR="00000000" w:rsidDel="00000000" w:rsidP="00000000" w:rsidRDefault="00000000" w:rsidRPr="00000000" w14:paraId="00000051">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Essas tarefas podem ser organizadas em um modelo de pipeline tradicional, no qual o resultado de uma é usada como entrada de outra de forma sequencial, ou serem realizadas de forma composta, unindo várias das subtarefas em uma única tarefa, em que o resultado é um par/tripla/quádrupla de aspecto/categoria/opinião/polaridade [14].</w:t>
      </w:r>
    </w:p>
    <w:p w:rsidR="00000000" w:rsidDel="00000000" w:rsidP="00000000" w:rsidRDefault="00000000" w:rsidRPr="00000000" w14:paraId="00000052">
      <w:pPr>
        <w:ind w:firstLine="70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Considerando a importância crescente da análise de conteúdo em ambientes digitais, identificou-se a viabilidade de desenvolver um projeto de graduação com o objetivo de propor e implementar uma biblioteca de software voltada à detecção de conflitos em publicações de redes sociais. Além da lacuna que justifica a concepção do projeto, destaca-se também a motivação pessoal dos autores, que, como entusiastas da área de Ciência da Computação, buscam oferecer contribuições relevantes para esse campo de estudo.</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spacing w:after="120" w:before="0" w:lineRule="auto"/>
        <w:rPr>
          <w:rFonts w:ascii="Times New Roman" w:cs="Times New Roman" w:eastAsia="Times New Roman" w:hAnsi="Times New Roman"/>
          <w:b w:val="1"/>
          <w:bCs w:val="1"/>
          <w:color w:val="000000"/>
        </w:rPr>
      </w:pPr>
      <w:bookmarkStart w:colFirst="0" w:colLast="0" w:name="_heading=h.vqi1n221w6j8" w:id="2"/>
      <w:bookmarkEnd w:id="2"/>
      <w:r w:rsidDel="00000000" w:rsidR="00000000" w:rsidRPr="00000000">
        <w:rPr>
          <w:rFonts w:ascii="Times New Roman" w:cs="Times New Roman" w:eastAsia="Times New Roman" w:hAnsi="Times New Roman"/>
          <w:b w:val="1"/>
          <w:bCs w:val="1"/>
          <w:color w:val="000000"/>
          <w:rtl w:val="0"/>
        </w:rPr>
        <w:t xml:space="preserve">2. Objetivos</w:t>
      </w:r>
    </w:p>
    <w:p w:rsidR="00000000" w:rsidDel="00000000" w:rsidP="00000000" w:rsidRDefault="00000000" w:rsidRPr="00000000" w14:paraId="00000055">
      <w:pPr>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projeto tem como objetivo geral desenvolver um dataset classificando conflitos em textos, assim como uma biblioteca de software baseada em aprendizado de máquina para a detecção de conflitos em redes sociais. Para tal, pretende-se cumprir os seguintes objetivos específicos:</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Discutir, propor e selecionar técnicas que caracterizem a existência de conflitos em posts em redes sociais;</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Construir um Dataset classificando conflitos em pares de textos</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Selecionar e treinar um modelo de IA apropriado para as técnicas selecionadas;</w:t>
      </w:r>
      <w:r w:rsidDel="00000000" w:rsidR="00000000" w:rsidRPr="00000000">
        <w:rPr>
          <w:rtl w:val="0"/>
        </w:rPr>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Analisar o desempenho e eficiência do modelo;</w:t>
      </w:r>
      <w:r w:rsidDel="00000000" w:rsidR="00000000" w:rsidRPr="00000000">
        <w:rPr>
          <w:rtl w:val="0"/>
        </w:rPr>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Formalizar uma biblioteca de software para o modelo;</w:t>
      </w:r>
      <w:r w:rsidDel="00000000" w:rsidR="00000000" w:rsidRPr="00000000">
        <w:rPr>
          <w:rtl w:val="0"/>
        </w:rPr>
      </w:r>
    </w:p>
    <w:p w:rsidR="00000000" w:rsidDel="00000000" w:rsidP="00000000" w:rsidRDefault="00000000" w:rsidRPr="00000000" w14:paraId="0000005B">
      <w:pPr>
        <w:pStyle w:val="Heading1"/>
        <w:spacing w:after="120" w:lineRule="auto"/>
        <w:rPr>
          <w:rFonts w:ascii="Times New Roman" w:cs="Times New Roman" w:eastAsia="Times New Roman" w:hAnsi="Times New Roman"/>
          <w:b w:val="1"/>
          <w:bCs w:val="1"/>
          <w:color w:val="000000"/>
        </w:rPr>
      </w:pPr>
      <w:bookmarkStart w:colFirst="0" w:colLast="0" w:name="_heading=h.k1t6w6wuvgp" w:id="3"/>
      <w:bookmarkEnd w:id="3"/>
      <w:r w:rsidDel="00000000" w:rsidR="00000000" w:rsidRPr="00000000">
        <w:rPr>
          <w:rtl w:val="0"/>
        </w:rPr>
      </w:r>
    </w:p>
    <w:p w:rsidR="00000000" w:rsidDel="00000000" w:rsidP="00000000" w:rsidRDefault="00000000" w:rsidRPr="00000000" w14:paraId="0000005C">
      <w:pPr>
        <w:pStyle w:val="Heading1"/>
        <w:spacing w:after="120" w:lineRule="auto"/>
        <w:rPr>
          <w:rFonts w:ascii="Times New Roman" w:cs="Times New Roman" w:eastAsia="Times New Roman" w:hAnsi="Times New Roman"/>
          <w:b w:val="1"/>
          <w:bCs w:val="1"/>
          <w:color w:val="000000"/>
        </w:rPr>
      </w:pPr>
      <w:bookmarkStart w:colFirst="0" w:colLast="0" w:name="_heading=h.9488y4gkrxsl" w:id="4"/>
      <w:bookmarkEnd w:id="4"/>
      <w:r w:rsidDel="00000000" w:rsidR="00000000" w:rsidRPr="00000000">
        <w:rPr>
          <w:rFonts w:ascii="Times New Roman" w:cs="Times New Roman" w:eastAsia="Times New Roman" w:hAnsi="Times New Roman"/>
          <w:b w:val="1"/>
          <w:bCs w:val="1"/>
          <w:color w:val="000000"/>
          <w:rtl w:val="0"/>
        </w:rPr>
        <w:t xml:space="preserve">3. Referencial teórico</w:t>
      </w:r>
    </w:p>
    <w:p w:rsidR="00000000" w:rsidDel="00000000" w:rsidP="00000000" w:rsidRDefault="00000000" w:rsidRPr="00000000" w14:paraId="0000005D">
      <w:pPr>
        <w:pStyle w:val="Heading2"/>
        <w:rPr/>
      </w:pPr>
      <w:bookmarkStart w:colFirst="0" w:colLast="0" w:name="_heading=h.izknwlcrvqrg" w:id="5"/>
      <w:bookmarkEnd w:id="5"/>
      <w:r w:rsidDel="00000000" w:rsidR="00000000" w:rsidRPr="00000000">
        <w:rPr>
          <w:rtl w:val="0"/>
        </w:rPr>
        <w:t xml:space="preserve">3.1 A definição de conflitos</w:t>
      </w:r>
    </w:p>
    <w:p w:rsidR="00000000" w:rsidDel="00000000" w:rsidP="00000000" w:rsidRDefault="00000000" w:rsidRPr="00000000" w14:paraId="0000005E">
      <w:pPr>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busca por uma definição de conflito trata-se de um desafio recorrente na literatura, não havendo um consenso universal sobre o seu significado. Segundo Lyamouri-Bajja et al. (2012)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 conceito de conflito tem sido abordado sob diferentes perspectivas ao longo do tempo, variando em função do contexto histórico e social em que é analisado. Ainda segundo os autores, algumas definições concentram-se nas causas do conflito, como disputas por poder, divergências de valores ou fatores emocionais, enquanto outras focam na natureza dos atores envolvidos, sejam indivíduos, grupos ou organizações. Essa diversidade de abordagens deixa claro que o conflito não é um fenômeno unidimensional, mas sim um conceito que depende do contexto em que é analisado. Nesse sentido faz-se necessário uma operacionalização de sua definição a partir de recortes específicos, visando adaptar-se aos objetivos e ao domínio de aplicação do estudo.</w:t>
      </w:r>
    </w:p>
    <w:p w:rsidR="00000000" w:rsidDel="00000000" w:rsidP="00000000" w:rsidRDefault="00000000" w:rsidRPr="00000000" w14:paraId="0000005F">
      <w:pPr>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contexto de mídias sociais, essa necessidade se intensifica, dado a natureza dinâmica e linguagem característica dessas interações. Warke et. al. (2025), em um estudo com objetivos semelhantes ao do presente projeto, apontam que a abordagem predominante na detecção de conflito em textos tende a se concentrar na identificação de manifestações explicitamente antagônicas em interações adversas, isto é, situações em que há oposição clara entre os participantes. No entanto, o mesmo estudo propõe uma visão mais abrangente do fenômeno buscando capturar o espectro do conflito. Nessa abordagem, os autores se baseiam em um estudo de análise de caráter netnográfico sobre interações em plataformas sociais, no qual são identificados diferentes categorias associadas ao conflito, são elas: provocação, crítica, sarcasmo, trolling, assédio e ameaças. Essa abordagem garante uma detecção mais granular do conflito, consoante aos objetivos proposto no trabalho dos autores.</w:t>
      </w:r>
    </w:p>
    <w:p w:rsidR="00000000" w:rsidDel="00000000" w:rsidP="00000000" w:rsidRDefault="00000000" w:rsidRPr="00000000" w14:paraId="00000060">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dessas considerações, adota-se, neste trabalho, uma definição operacional de conflito voltada ao contexto de mídias sociais. Desta forma, considera-se que:</w:t>
      </w:r>
    </w:p>
    <w:p w:rsidR="00000000" w:rsidDel="00000000" w:rsidP="00000000" w:rsidRDefault="00000000" w:rsidRPr="00000000" w14:paraId="00000061">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Conflito consiste em manifestações abertamente antagônicas de interações adversas, incluindo formas implícitas (Provocação, crítica e sarcasmo) e explícitas (Assédio e ameaças), conforme tipologia derivada de estudo netnográfico.</w:t>
      </w:r>
    </w:p>
    <w:p w:rsidR="00000000" w:rsidDel="00000000" w:rsidP="00000000" w:rsidRDefault="00000000" w:rsidRPr="00000000" w14:paraId="00000062">
      <w:pPr>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definição permite capturar não apenas conflitos explícitos, mas também formas sutis de antagonismo, sendo adequada ao objetivo deste trabalho de analisar relações discursivas entre pares de tweets.</w:t>
      </w:r>
    </w:p>
    <w:p w:rsidR="00000000" w:rsidDel="00000000" w:rsidP="00000000" w:rsidRDefault="00000000" w:rsidRPr="00000000" w14:paraId="00000063">
      <w:pPr>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Style w:val="Heading1"/>
        <w:spacing w:after="120" w:lineRule="auto"/>
        <w:rPr>
          <w:rFonts w:ascii="Times New Roman" w:cs="Times New Roman" w:eastAsia="Times New Roman" w:hAnsi="Times New Roman"/>
          <w:b w:val="1"/>
          <w:bCs w:val="1"/>
          <w:color w:val="000000"/>
        </w:rPr>
      </w:pPr>
      <w:bookmarkStart w:colFirst="0" w:colLast="0" w:name="_heading=h.ms7stilzc71n" w:id="6"/>
      <w:bookmarkEnd w:id="6"/>
      <w:r w:rsidDel="00000000" w:rsidR="00000000" w:rsidRPr="00000000">
        <w:rPr>
          <w:rFonts w:ascii="Times New Roman" w:cs="Times New Roman" w:eastAsia="Times New Roman" w:hAnsi="Times New Roman"/>
          <w:b w:val="1"/>
          <w:bCs w:val="1"/>
          <w:color w:val="000000"/>
          <w:rtl w:val="0"/>
        </w:rPr>
        <w:t xml:space="preserve">4. Materiais e métodos</w:t>
      </w:r>
    </w:p>
    <w:p w:rsidR="00000000" w:rsidDel="00000000" w:rsidP="00000000" w:rsidRDefault="00000000" w:rsidRPr="00000000" w14:paraId="00000065">
      <w:pPr>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trabalho proposto tem um caráter essencialmente aplicado e experimental, com enfoque numa abordagem quantitativa e computacional. O objetivo é desenvolver e avaliar um modelo automático de análise de sentimentos para a detecção de conflitos em textos provenientes de redes sociais, utilizando técnicas de aprendizado de máquina (machine learning) e aprendizado por transferência (transfer learning), como o modelo BERTimbau, uma variante do BERT pré-treinada em língua portuguesa. Para isso, fez-se necessário a construção de um dataset classificando conflitos em pares de textos advindos de mídias sociais. A fim de modularizar os procedimentos necessários, a metodologia foi estruturada nas etapas descritas a seguir.</w:t>
      </w:r>
    </w:p>
    <w:p w:rsidR="00000000" w:rsidDel="00000000" w:rsidP="00000000" w:rsidRDefault="00000000" w:rsidRPr="00000000" w14:paraId="00000066">
      <w:pPr>
        <w:pStyle w:val="Heading2"/>
        <w:keepNext w:val="1"/>
        <w:keepLines w:val="1"/>
        <w:spacing w:after="80" w:before="360" w:lineRule="auto"/>
        <w:rPr>
          <w:vertAlign w:val="baseline"/>
        </w:rPr>
      </w:pPr>
      <w:bookmarkStart w:colFirst="0" w:colLast="0" w:name="_heading=h.jl6mz9acj7wp" w:id="7"/>
      <w:bookmarkEnd w:id="7"/>
      <w:r w:rsidDel="00000000" w:rsidR="00000000" w:rsidRPr="00000000">
        <w:rPr>
          <w:rtl w:val="0"/>
        </w:rPr>
        <w:t xml:space="preserve">4</w:t>
      </w:r>
      <w:r w:rsidDel="00000000" w:rsidR="00000000" w:rsidRPr="00000000">
        <w:rPr>
          <w:vertAlign w:val="baseline"/>
          <w:rtl w:val="0"/>
        </w:rPr>
        <w:t xml:space="preserve">.1 Levantamento bibliográfico</w:t>
      </w:r>
    </w:p>
    <w:p w:rsidR="00000000" w:rsidDel="00000000" w:rsidP="00000000" w:rsidRDefault="00000000" w:rsidRPr="00000000" w14:paraId="00000067">
      <w:pPr>
        <w:ind w:firstLine="70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fim de fundamentar as decisões técnicas do trabalho, pretende-se investigar, sumarizar e selecionar as principais contribuições teóricas a respeito do estado da arte em técnicas de Processamento de Linguagem Natural (PLN) aplicados à análise de sentimentos baseada em aspectos. A pesquisa abrangerá os modelos mais relevantes de aprendizado profundo e aprendizado por transferência, com foco em BERT e suas variantes, bem como estratégias de pré-processamento, tokenização, rotulagem e avaliação de desempenho. Ademais, serão analisados trabalhos correlatos que dialogam diretamente com o tema deste projeto.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8">
      <w:pPr>
        <w:ind w:firstLine="708"/>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pStyle w:val="Heading2"/>
        <w:rPr/>
      </w:pPr>
      <w:bookmarkStart w:colFirst="0" w:colLast="0" w:name="_heading=h.2a6mqng86eq0" w:id="8"/>
      <w:bookmarkEnd w:id="8"/>
      <w:r w:rsidDel="00000000" w:rsidR="00000000" w:rsidRPr="00000000">
        <w:rPr>
          <w:rtl w:val="0"/>
        </w:rPr>
        <w:t xml:space="preserve">4.2 Base de dados</w:t>
      </w:r>
    </w:p>
    <w:p w:rsidR="00000000" w:rsidDel="00000000" w:rsidP="00000000" w:rsidRDefault="00000000" w:rsidRPr="00000000" w14:paraId="0000006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dados utilizados neste projeto consistem em um conjunto de postagens públicas, em língua portuguesa, coletadas da plataforma X (antigo Twitter) pelo orientador do presente trabalho, Dr. Carlos Da Silva Santos, em 2020, no contexto de um projeto anterior conduzido por ele. A coleta foi direcionada a três temas específicos de relevância social e política no periodo analisado: aborto, cloroquina e mandetta. Como resultado, foram gerados três conjuntos principais de dados, cada um contendo publicações relacionadas a um destes temas, oferecendo assim uma certa homogeneidade temática a cada subconjunto. </w:t>
      </w:r>
    </w:p>
    <w:p w:rsidR="00000000" w:rsidDel="00000000" w:rsidP="00000000" w:rsidRDefault="00000000" w:rsidRPr="00000000" w14:paraId="0000006B">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4.2.2 Estrutura e construção do dataset</w:t>
      </w:r>
    </w:p>
    <w:p w:rsidR="00000000" w:rsidDel="00000000" w:rsidP="00000000" w:rsidRDefault="00000000" w:rsidRPr="00000000" w14:paraId="0000006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subconjunto temático foi originalmente armazenado no formato JSON Lines (JSONL), no qual cada linha corresponde a um objeto JSON independente. Neste contexto, cada objeto JSON representa uma entidade completa de tweet, contendo seus respectivos atributos organizados em pares chave-valor, como conteúdo textual, identificadores únicos e metadados associados às interações. Essa organização resultante corresponde ao formato de retorno da antiga API da plataforma X (twitter), na qual cada tweet é representado como um objeto estruturado composto por diversos campos, incluindo texto, informações do usuário, e dados relacionados às interações, como respostas, citações e métricas de engajamento [1].</w:t>
      </w:r>
    </w:p>
    <w:p w:rsidR="00000000" w:rsidDel="00000000" w:rsidP="00000000" w:rsidRDefault="00000000" w:rsidRPr="00000000" w14:paraId="0000006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2959100"/>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39973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1 - Estrutura do Json Lines e objeto Tweet</w:t>
      </w:r>
    </w:p>
    <w:p w:rsidR="00000000" w:rsidDel="00000000" w:rsidP="00000000" w:rsidRDefault="00000000" w:rsidRPr="00000000" w14:paraId="0000007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dessa estrutura inicial, cada arquivo JSONL foi processado individualmente em ambiente Python. Com o intuito de garantir maior flexibilidade na manipulação dos dados, adotou-se a conversão dos arquivos para uma lista de dicionários, na qual cada elemento representa um tweet estruturado por pares chave-valor. Com base nessa representação intermediária, foi construído um dataset inicial para cada subconjunto temático, compostos pelo conjunto de todos os tweets processados a partir da lista de seus respectivos dicionários. </w:t>
      </w:r>
    </w:p>
    <w:p w:rsidR="00000000" w:rsidDel="00000000" w:rsidP="00000000" w:rsidRDefault="00000000" w:rsidRPr="00000000" w14:paraId="0000007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o pré-processamento e manipulação dos dados, foram realizadas etapas de filtragem com o objetivo de garantir a consistência do conjunto final. Entre essas etapas, destaca-se a remoção de textos duplicados, exclusão de respostas cujos tweets originais não puderam ser recuperados e a remoção de publicações que referenciam imagens. </w:t>
      </w:r>
    </w:p>
    <w:p w:rsidR="00000000" w:rsidDel="00000000" w:rsidP="00000000" w:rsidRDefault="00000000" w:rsidRPr="00000000" w14:paraId="0000007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em cada dataset temático, os dados foram organizados em três categorias principais: (i) tweets originais, definidos como publicações que não configuram respostas ou citações; (ii) respostas (replies) que correspondem </w:t>
      </w:r>
      <w:r w:rsidDel="00000000" w:rsidR="00000000" w:rsidRPr="00000000">
        <w:rPr>
          <w:rFonts w:ascii="Times New Roman" w:cs="Times New Roman" w:eastAsia="Times New Roman" w:hAnsi="Times New Roman"/>
          <w:sz w:val="24"/>
          <w:szCs w:val="24"/>
          <w:rtl w:val="0"/>
        </w:rPr>
        <w:t xml:space="preserve">a tweets</w:t>
      </w:r>
      <w:r w:rsidDel="00000000" w:rsidR="00000000" w:rsidRPr="00000000">
        <w:rPr>
          <w:rFonts w:ascii="Times New Roman" w:cs="Times New Roman" w:eastAsia="Times New Roman" w:hAnsi="Times New Roman"/>
          <w:sz w:val="24"/>
          <w:szCs w:val="24"/>
          <w:rtl w:val="0"/>
        </w:rPr>
        <w:t xml:space="preserve"> que respondem diretamente a outro tweet; e (iii) citações (quotes) que consistem em tweets que incorporam ou referenciam explicitamente outro tweet. Esta organização permite capturar diferentes formas de interação entre usuários, possibilitando a construção de um conjunto heterogêneo de interações textuais para a análise.  </w:t>
      </w:r>
    </w:p>
    <w:p w:rsidR="00000000" w:rsidDel="00000000" w:rsidP="00000000" w:rsidRDefault="00000000" w:rsidRPr="00000000" w14:paraId="00000074">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4.2.3 Geração de pares e amostragem aleatória</w:t>
      </w:r>
    </w:p>
    <w:p w:rsidR="00000000" w:rsidDel="00000000" w:rsidP="00000000" w:rsidRDefault="00000000" w:rsidRPr="00000000" w14:paraId="0000007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w:t>
      </w:r>
      <w:r w:rsidDel="00000000" w:rsidR="00000000" w:rsidRPr="00000000">
        <w:rPr>
          <w:rFonts w:ascii="Times New Roman" w:cs="Times New Roman" w:eastAsia="Times New Roman" w:hAnsi="Times New Roman"/>
          <w:sz w:val="24"/>
          <w:szCs w:val="24"/>
          <w:rtl w:val="0"/>
        </w:rPr>
        <w:t xml:space="preserve">dataset</w:t>
      </w:r>
      <w:r w:rsidDel="00000000" w:rsidR="00000000" w:rsidRPr="00000000">
        <w:rPr>
          <w:rFonts w:ascii="Times New Roman" w:cs="Times New Roman" w:eastAsia="Times New Roman" w:hAnsi="Times New Roman"/>
          <w:sz w:val="24"/>
          <w:szCs w:val="24"/>
          <w:rtl w:val="0"/>
        </w:rPr>
        <w:t xml:space="preserve"> temático construído na seção anterior, foram gerados pares de interação textual a partir das relações estruturais entre os tweets. Para os tweets classificados com (ii) respostas (</w:t>
      </w:r>
      <w:r w:rsidDel="00000000" w:rsidR="00000000" w:rsidRPr="00000000">
        <w:rPr>
          <w:rFonts w:ascii="Times New Roman" w:cs="Times New Roman" w:eastAsia="Times New Roman" w:hAnsi="Times New Roman"/>
          <w:i w:val="1"/>
          <w:iCs w:val="1"/>
          <w:sz w:val="24"/>
          <w:szCs w:val="24"/>
          <w:rtl w:val="0"/>
        </w:rPr>
        <w:t xml:space="preserve">replies</w:t>
      </w:r>
      <w:r w:rsidDel="00000000" w:rsidR="00000000" w:rsidRPr="00000000">
        <w:rPr>
          <w:rFonts w:ascii="Times New Roman" w:cs="Times New Roman" w:eastAsia="Times New Roman" w:hAnsi="Times New Roman"/>
          <w:sz w:val="24"/>
          <w:szCs w:val="24"/>
          <w:rtl w:val="0"/>
        </w:rPr>
        <w:t xml:space="preserve">), foram formados pares entre cada resposta e o seu respectivo tweet de origem. De forma análoga, para os tweets da categoria (iii) citações (</w:t>
      </w:r>
      <w:r w:rsidDel="00000000" w:rsidR="00000000" w:rsidRPr="00000000">
        <w:rPr>
          <w:rFonts w:ascii="Times New Roman" w:cs="Times New Roman" w:eastAsia="Times New Roman" w:hAnsi="Times New Roman"/>
          <w:i w:val="1"/>
          <w:iCs w:val="1"/>
          <w:sz w:val="24"/>
          <w:szCs w:val="24"/>
          <w:rtl w:val="0"/>
        </w:rPr>
        <w:t xml:space="preserve">quotes</w:t>
      </w:r>
      <w:r w:rsidDel="00000000" w:rsidR="00000000" w:rsidRPr="00000000">
        <w:rPr>
          <w:rFonts w:ascii="Times New Roman" w:cs="Times New Roman" w:eastAsia="Times New Roman" w:hAnsi="Times New Roman"/>
          <w:sz w:val="24"/>
          <w:szCs w:val="24"/>
          <w:rtl w:val="0"/>
        </w:rPr>
        <w:t xml:space="preserve">), foram gerados pares compostos pelo tweet que contém a citação </w:t>
      </w:r>
      <w:r w:rsidDel="00000000" w:rsidR="00000000" w:rsidRPr="00000000">
        <w:rPr>
          <w:rFonts w:ascii="Times New Roman" w:cs="Times New Roman" w:eastAsia="Times New Roman" w:hAnsi="Times New Roman"/>
          <w:sz w:val="24"/>
          <w:szCs w:val="24"/>
          <w:rtl w:val="0"/>
        </w:rPr>
        <w:t xml:space="preserve">e o</w:t>
      </w:r>
      <w:r w:rsidDel="00000000" w:rsidR="00000000" w:rsidRPr="00000000">
        <w:rPr>
          <w:rFonts w:ascii="Times New Roman" w:cs="Times New Roman" w:eastAsia="Times New Roman" w:hAnsi="Times New Roman"/>
          <w:sz w:val="24"/>
          <w:szCs w:val="24"/>
          <w:rtl w:val="0"/>
        </w:rPr>
        <w:t xml:space="preserve"> respectivo tweet citado. </w:t>
      </w:r>
    </w:p>
    <w:p w:rsidR="00000000" w:rsidDel="00000000" w:rsidP="00000000" w:rsidRDefault="00000000" w:rsidRPr="00000000" w14:paraId="0000007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os tweets da categoria (i), isto é, tweets originais que não configuram respostas nem citações, foi adotada uma abordagem de amostragem aleatória. Nessa estratégia, pares de tweets são selecionados aleatoriamente dentro dessa classe, formando combinações no formato (tweet</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tweet</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Essa amostragem representa um subconjunto do espaço de todas as possíveis combinações entre pares de tweets desta categoria. </w:t>
      </w:r>
    </w:p>
    <w:p w:rsidR="00000000" w:rsidDel="00000000" w:rsidP="00000000" w:rsidRDefault="00000000" w:rsidRPr="00000000" w14:paraId="0000007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escolha desta abordagem é viabilizada pela natureza homogênea dos subconjuntos temáticos, nos quais os tweets compartilham um mesmo contexto ou tópico geral. Essa característica permite que a amostragem aleatória produza pares potencialmente relevantes para a análise de relações semânticas entre os tweets, mesmo na ausência de vínculos explícitos entre os elementos pareados. Além disso, como os tweets da categoria (i) não apresentam relações estruturais diretas, diferentemente das categorias (ii) e (iii), a amostragem aleatória evita a introdução de vieses estruturais, como a tendência de modelos privilegiarem padrões de interação, o que poderia limitar a diversidade de relações discursivas observadas.  </w:t>
      </w:r>
    </w:p>
    <w:p w:rsidR="00000000" w:rsidDel="00000000" w:rsidP="00000000" w:rsidRDefault="00000000" w:rsidRPr="00000000" w14:paraId="0000007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fim, trata-se de uma abordagem simples e de baixo custo computacional, quando comparada a métodos baseados em similaridade semântica ou heurística mais complexa, mantendo-se adequada ao objetivo de gerar um conjunto representativo equilibrado de interações. Ao final do procedimento, obtêm-se novos datasets temáticos, compostos por pares de tweets daquele determinado subconjunto temático, acompanhados de sua respectiva classe de origem (i, ii, iii).</w:t>
      </w:r>
    </w:p>
    <w:p w:rsidR="00000000" w:rsidDel="00000000" w:rsidP="00000000" w:rsidRDefault="00000000" w:rsidRPr="00000000" w14:paraId="0000007A">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4.2.4 Classificação e pipeline de anotação</w:t>
      </w:r>
    </w:p>
    <w:p w:rsidR="00000000" w:rsidDel="00000000" w:rsidP="00000000" w:rsidRDefault="00000000" w:rsidRPr="00000000" w14:paraId="0000007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cada dataset temático produzido na seção anterior, foram derivados três novos subconjuntos, cada um correspondente a uma das classes de interação (tweets originais, respostas e citações) para aquele tema. Essa separação permitiu analisar possíveis tendências e diferenças no comportamento das interações em cada tipo de relação entre os tweets. </w:t>
      </w:r>
    </w:p>
    <w:p w:rsidR="00000000" w:rsidDel="00000000" w:rsidP="00000000" w:rsidRDefault="00000000" w:rsidRPr="00000000" w14:paraId="0000007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processo de anotação foi conduzido por dois avaliadores independentes (os autores deste trabalho), que classificaram separedamente o mesmo conjunto de 150 pares de tweets do subconjunto temático “aborto”, distribuídos igualmente entre as três categorias (50 pares de tweets originais, 50 de respostas e 50 de citações), a fim de avaliar a consistencia do processo de anotação antes de sua aplicação em maior escala. Cada par então foi rotulado segundo três classes: (0) não conflito, (1) conflito e (-1) quando não foi possível determinar a presença ou ausência de conflito.</w:t>
      </w:r>
    </w:p>
    <w:p w:rsidR="00000000" w:rsidDel="00000000" w:rsidP="00000000" w:rsidRDefault="00000000" w:rsidRPr="00000000" w14:paraId="0000007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garantir uma classificação padronizada, foi desenvolvida uma tabela de anotação baseada na definição de conflito adotada neste trabalho. Essa tabela busca operacionalizar o conceito de conflito em critérios observáveis, orientando os anotadores na identificação de indícios de antagonismo, oposição ou ausência de alinhamento entre os pares de tweets. </w:t>
      </w:r>
    </w:p>
    <w:p w:rsidR="00000000" w:rsidDel="00000000" w:rsidP="00000000" w:rsidRDefault="00000000" w:rsidRPr="00000000" w14:paraId="00000080">
      <w:pPr>
        <w:ind w:firstLine="720"/>
        <w:jc w:val="both"/>
        <w:rPr>
          <w:rFonts w:ascii="Times New Roman" w:cs="Times New Roman" w:eastAsia="Times New Roman" w:hAnsi="Times New Roman"/>
          <w:sz w:val="24"/>
          <w:szCs w:val="24"/>
        </w:rPr>
      </w:pPr>
      <w:r w:rsidDel="00000000" w:rsidR="00000000" w:rsidRPr="00000000">
        <w:rPr>
          <w:rtl w:val="0"/>
        </w:rPr>
      </w:r>
    </w:p>
    <w:sdt>
      <w:sdtPr>
        <w:lock w:val="contentLocked"/>
        <w:id w:val="-1814560096"/>
        <w:tag w:val="goog_rdk_0"/>
      </w:sdtPr>
      <w:sdtContent>
        <w:tbl>
          <w:tblPr>
            <w:tblStyle w:val="Table1"/>
            <w:tblpPr w:leftFromText="180" w:rightFromText="180" w:topFromText="180" w:bottomFromText="180" w:vertAnchor="text" w:horzAnchor="text" w:tblpX="459.00000000000034" w:tblpY="1.732910156260914"/>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20"/>
            <w:gridCol w:w="2520"/>
            <w:tblGridChange w:id="0">
              <w:tblGrid>
                <w:gridCol w:w="2520"/>
                <w:gridCol w:w="2520"/>
                <w:gridCol w:w="2520"/>
              </w:tblGrid>
            </w:tblGridChange>
          </w:tblGrid>
          <w:tr>
            <w:trPr>
              <w:cantSplit w:val="0"/>
              <w:tblHeader w:val="0"/>
            </w:trPr>
            <w:tc>
              <w:tcPr/>
              <w:p w:rsidR="00000000" w:rsidDel="00000000" w:rsidP="00000000" w:rsidRDefault="00000000" w:rsidRPr="00000000" w14:paraId="00000081">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Dimensão</w:t>
                </w:r>
              </w:p>
            </w:tc>
            <w:tc>
              <w:tcPr/>
              <w:p w:rsidR="00000000" w:rsidDel="00000000" w:rsidP="00000000" w:rsidRDefault="00000000" w:rsidRPr="00000000" w14:paraId="00000082">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Pergunta operacional</w:t>
                </w:r>
              </w:p>
            </w:tc>
            <w:tc>
              <w:tcPr/>
              <w:p w:rsidR="00000000" w:rsidDel="00000000" w:rsidP="00000000" w:rsidRDefault="00000000" w:rsidRPr="00000000" w14:paraId="00000083">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Descrição</w:t>
                </w:r>
              </w:p>
            </w:tc>
          </w:tr>
          <w:tr>
            <w:trPr>
              <w:cantSplit w:val="0"/>
              <w:tblHeader w:val="0"/>
            </w:trPr>
            <w:tc>
              <w:tcPr/>
              <w:p w:rsidR="00000000" w:rsidDel="00000000" w:rsidP="00000000" w:rsidRDefault="00000000" w:rsidRPr="00000000" w14:paraId="00000084">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Interação</w:t>
                </w:r>
              </w:p>
            </w:tc>
            <w:tc>
              <w:tcPr/>
              <w:p w:rsidR="00000000" w:rsidDel="00000000" w:rsidP="00000000" w:rsidRDefault="00000000" w:rsidRPr="00000000" w14:paraId="0000008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 texto pode ser interpretado como resposta ao outro?</w:t>
                </w:r>
              </w:p>
            </w:tc>
            <w:tc>
              <w:tcPr/>
              <w:p w:rsidR="00000000" w:rsidDel="00000000" w:rsidP="00000000" w:rsidRDefault="00000000" w:rsidRPr="00000000" w14:paraId="0000008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 se há relação direta ou indireta entre os textos, ou seja, se um pode ser interpretado como reação ou resposta ao outro.</w:t>
                </w:r>
              </w:p>
            </w:tc>
          </w:tr>
          <w:tr>
            <w:trPr>
              <w:cantSplit w:val="0"/>
              <w:tblHeader w:val="0"/>
            </w:trPr>
            <w:tc>
              <w:tcPr/>
              <w:p w:rsidR="00000000" w:rsidDel="00000000" w:rsidP="00000000" w:rsidRDefault="00000000" w:rsidRPr="00000000" w14:paraId="00000087">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Alinhamento discursivo</w:t>
                </w:r>
              </w:p>
            </w:tc>
            <w:tc>
              <w:tcPr/>
              <w:p w:rsidR="00000000" w:rsidDel="00000000" w:rsidP="00000000" w:rsidRDefault="00000000" w:rsidRPr="00000000" w14:paraId="0000008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Ambos respondem a mesma pergunta?</w:t>
                </w:r>
              </w:p>
              <w:p w:rsidR="00000000" w:rsidDel="00000000" w:rsidP="00000000" w:rsidRDefault="00000000" w:rsidRPr="00000000" w14:paraId="0000008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Necessário avaliar  Entidade e Aspecto</w:t>
                </w:r>
              </w:p>
            </w:tc>
            <w:tc>
              <w:tcPr/>
              <w:p w:rsidR="00000000" w:rsidDel="00000000" w:rsidP="00000000" w:rsidRDefault="00000000" w:rsidRPr="00000000" w14:paraId="0000008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 se os textos estão inserido no mesmo contexto discursivo</w:t>
                </w:r>
              </w:p>
            </w:tc>
          </w:tr>
          <w:tr>
            <w:trPr>
              <w:cantSplit w:val="0"/>
              <w:tblHeader w:val="0"/>
            </w:trPr>
            <w:tc>
              <w:tcPr/>
              <w:p w:rsidR="00000000" w:rsidDel="00000000" w:rsidP="00000000" w:rsidRDefault="00000000" w:rsidRPr="00000000" w14:paraId="0000008B">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Oposição</w:t>
                </w:r>
              </w:p>
            </w:tc>
            <w:tc>
              <w:tcPr/>
              <w:p w:rsidR="00000000" w:rsidDel="00000000" w:rsidP="00000000" w:rsidRDefault="00000000" w:rsidRPr="00000000" w14:paraId="0000008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 tweet contradiz, refuta ou invalida o outro?</w:t>
                </w:r>
              </w:p>
            </w:tc>
            <w:tc>
              <w:tcPr/>
              <w:p w:rsidR="00000000" w:rsidDel="00000000" w:rsidP="00000000" w:rsidRDefault="00000000" w:rsidRPr="00000000" w14:paraId="0000008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 se há incompatibilidade de opinião entre os textos</w:t>
                </w:r>
              </w:p>
            </w:tc>
          </w:tr>
          <w:tr>
            <w:trPr>
              <w:cantSplit w:val="0"/>
              <w:tblHeader w:val="0"/>
            </w:trPr>
            <w:tc>
              <w:tcPr/>
              <w:p w:rsidR="00000000" w:rsidDel="00000000" w:rsidP="00000000" w:rsidRDefault="00000000" w:rsidRPr="00000000" w14:paraId="0000008E">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Antagonismo</w:t>
                </w:r>
              </w:p>
            </w:tc>
            <w:tc>
              <w:tcPr/>
              <w:p w:rsidR="00000000" w:rsidDel="00000000" w:rsidP="00000000" w:rsidRDefault="00000000" w:rsidRPr="00000000" w14:paraId="0000008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Existe um tom adverso? (crítica, ironia, ataque, negação, competição)</w:t>
                </w:r>
              </w:p>
            </w:tc>
            <w:tc>
              <w:tcPr/>
              <w:p w:rsidR="00000000" w:rsidDel="00000000" w:rsidP="00000000" w:rsidRDefault="00000000" w:rsidRPr="00000000" w14:paraId="0000009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Verifica se há uma postura antagônica entre as partes</w:t>
                </w:r>
              </w:p>
            </w:tc>
          </w:tr>
        </w:tbl>
      </w:sdtContent>
    </w:sdt>
    <w:p w:rsidR="00000000" w:rsidDel="00000000" w:rsidP="00000000" w:rsidRDefault="00000000" w:rsidRPr="00000000" w14:paraId="00000091">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1 - Critérios de anotação baseada na definição</w:t>
      </w:r>
    </w:p>
    <w:p w:rsidR="00000000" w:rsidDel="00000000" w:rsidP="00000000" w:rsidRDefault="00000000" w:rsidRPr="00000000" w14:paraId="0000009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tweets gerados por amostragem aleatória (categoria de tweets originais), foi necessária a introdução de uma camada adicional de análise devido à ausência de uma relação estrutural entre os elementos do par. Nesses casos, adotou-se uma definição não ordenada de conflito, na qual o par (tweet</w:t>
      </w:r>
      <w:r w:rsidDel="00000000" w:rsidR="00000000" w:rsidRPr="00000000">
        <w:rPr>
          <w:rFonts w:ascii="Times New Roman" w:cs="Times New Roman" w:eastAsia="Times New Roman" w:hAnsi="Times New Roman"/>
          <w:sz w:val="24"/>
          <w:szCs w:val="24"/>
          <w:vertAlign w:val="subscript"/>
          <w:rtl w:val="0"/>
        </w:rPr>
        <w:t xml:space="preserve">a</w:t>
      </w:r>
      <w:r w:rsidDel="00000000" w:rsidR="00000000" w:rsidRPr="00000000">
        <w:rPr>
          <w:rFonts w:ascii="Times New Roman" w:cs="Times New Roman" w:eastAsia="Times New Roman" w:hAnsi="Times New Roman"/>
          <w:sz w:val="24"/>
          <w:szCs w:val="24"/>
          <w:rtl w:val="0"/>
        </w:rPr>
        <w:t xml:space="preserve">,tweet</w:t>
      </w:r>
      <w:r w:rsidDel="00000000" w:rsidR="00000000" w:rsidRPr="00000000">
        <w:rPr>
          <w:rFonts w:ascii="Times New Roman" w:cs="Times New Roman" w:eastAsia="Times New Roman" w:hAnsi="Times New Roman"/>
          <w:sz w:val="24"/>
          <w:szCs w:val="24"/>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é considerado em conflito sempre que houver indícios de antagonismo em qualquer direção de interpretação entre os tweets. Essa escolha se deu em função da ausência de um encadeamento conversacional entre os pares gerados, o que torna a ordem dos elementos arbitrária. A abordagem mantém-se consistente com o objetivo de capturar relações de conflito em nível  semântico, não estando restrito necessariamente a uma estrutura discursiva direcionada.  </w:t>
      </w:r>
    </w:p>
    <w:p w:rsidR="00000000" w:rsidDel="00000000" w:rsidP="00000000" w:rsidRDefault="00000000" w:rsidRPr="00000000" w14:paraId="0000009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fim, as classificações atribuídas pelos avaliadores foram comparadas por meio da construção de tabelas de contingência (matrizes de confusão), cujos resultados são apresentados e discutidos na seção 5.</w:t>
      </w:r>
    </w:p>
    <w:p w:rsidR="00000000" w:rsidDel="00000000" w:rsidP="00000000" w:rsidRDefault="00000000" w:rsidRPr="00000000" w14:paraId="00000094">
      <w:pPr>
        <w:pStyle w:val="Heading2"/>
        <w:keepNext w:val="1"/>
        <w:keepLines w:val="1"/>
        <w:spacing w:after="80" w:before="360" w:lineRule="auto"/>
        <w:rPr>
          <w:vertAlign w:val="baseline"/>
        </w:rPr>
      </w:pPr>
      <w:bookmarkStart w:colFirst="0" w:colLast="0" w:name="_heading=h.d41uxqojyfmy" w:id="9"/>
      <w:bookmarkEnd w:id="9"/>
      <w:r w:rsidDel="00000000" w:rsidR="00000000" w:rsidRPr="00000000">
        <w:rPr>
          <w:rtl w:val="0"/>
        </w:rPr>
        <w:t xml:space="preserve">4</w:t>
      </w:r>
      <w:r w:rsidDel="00000000" w:rsidR="00000000" w:rsidRPr="00000000">
        <w:rPr>
          <w:vertAlign w:val="baseline"/>
          <w:rtl w:val="0"/>
        </w:rPr>
        <w:t xml:space="preserve">.</w:t>
      </w:r>
      <w:r w:rsidDel="00000000" w:rsidR="00000000" w:rsidRPr="00000000">
        <w:rPr>
          <w:rtl w:val="0"/>
        </w:rPr>
        <w:t xml:space="preserve">3</w:t>
      </w:r>
      <w:r w:rsidDel="00000000" w:rsidR="00000000" w:rsidRPr="00000000">
        <w:rPr>
          <w:vertAlign w:val="baseline"/>
          <w:rtl w:val="0"/>
        </w:rPr>
        <w:t xml:space="preserve"> Pré-processamento dos dados</w:t>
      </w:r>
    </w:p>
    <w:p w:rsidR="00000000" w:rsidDel="00000000" w:rsidP="00000000" w:rsidRDefault="00000000" w:rsidRPr="00000000" w14:paraId="0000009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etapa de pré-processamento consiste em uma série de procedimentos voltados para a adequação dos dados numa estrutura limpa e consistente. Serão realizados processos como a remoção de URLs, menções, emojis e caracteres especiais, normalização, tokenização e segmentação das sequências. Por fim, o conjunto de dados será dividido em três partes: treino, validação e teste.</w:t>
      </w:r>
    </w:p>
    <w:p w:rsidR="00000000" w:rsidDel="00000000" w:rsidP="00000000" w:rsidRDefault="00000000" w:rsidRPr="00000000" w14:paraId="00000096">
      <w:pPr>
        <w:pStyle w:val="Heading2"/>
        <w:rPr/>
      </w:pPr>
      <w:bookmarkStart w:colFirst="0" w:colLast="0" w:name="_heading=h.d41uxqojyfmy" w:id="9"/>
      <w:bookmarkEnd w:id="9"/>
      <w:r w:rsidDel="00000000" w:rsidR="00000000" w:rsidRPr="00000000">
        <w:rPr>
          <w:rtl w:val="0"/>
        </w:rPr>
        <w:t xml:space="preserve">4</w:t>
      </w:r>
      <w:r w:rsidDel="00000000" w:rsidR="00000000" w:rsidRPr="00000000">
        <w:rPr>
          <w:rtl w:val="0"/>
        </w:rPr>
        <w:t xml:space="preserve">.4 Extração de entidades e aspectos</w:t>
      </w:r>
    </w:p>
    <w:p w:rsidR="00000000" w:rsidDel="00000000" w:rsidP="00000000" w:rsidRDefault="00000000" w:rsidRPr="00000000" w14:paraId="0000009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Nesta etapa, serão aplicados procedimentos específicos para identificar as entidades e os aspectos presentes nos textos que servirão de base para a análise baseada em aspectos. Esse processo envolve a detecção das entidades mencionadas nas publicações (como pessoas, produtos ou organizações) e em seguida a identificação dos aspectos relacionados a estas entidades, sejam suas características ou atributos discutidos no contexto. A seleção do método de extração será orientada por uma análise das técnicas disponíveis na literatura, levando em conta critérios como desempenho, viabilidade técnica de implementação e compatibilidade com o modelo adotado no projeto, podendo ser ele uma abordagem linguística/estatística ou utilizando aprendizado de máquina supervisionado.</w:t>
      </w:r>
      <w:r w:rsidDel="00000000" w:rsidR="00000000" w:rsidRPr="00000000">
        <w:rPr>
          <w:rtl w:val="0"/>
        </w:rPr>
      </w:r>
    </w:p>
    <w:p w:rsidR="00000000" w:rsidDel="00000000" w:rsidP="00000000" w:rsidRDefault="00000000" w:rsidRPr="00000000" w14:paraId="00000098">
      <w:pPr>
        <w:pStyle w:val="Heading2"/>
        <w:keepNext w:val="1"/>
        <w:keepLines w:val="1"/>
        <w:spacing w:after="80" w:before="360" w:lineRule="auto"/>
        <w:rPr>
          <w:vertAlign w:val="baseline"/>
        </w:rPr>
      </w:pPr>
      <w:bookmarkStart w:colFirst="0" w:colLast="0" w:name="_heading=h.ynie3i5swf2j" w:id="10"/>
      <w:bookmarkEnd w:id="10"/>
      <w:r w:rsidDel="00000000" w:rsidR="00000000" w:rsidRPr="00000000">
        <w:rPr>
          <w:rtl w:val="0"/>
        </w:rPr>
        <w:t xml:space="preserve">4</w:t>
      </w:r>
      <w:r w:rsidDel="00000000" w:rsidR="00000000" w:rsidRPr="00000000">
        <w:rPr>
          <w:vertAlign w:val="baseline"/>
          <w:rtl w:val="0"/>
        </w:rPr>
        <w:t xml:space="preserve">.</w:t>
      </w:r>
      <w:r w:rsidDel="00000000" w:rsidR="00000000" w:rsidRPr="00000000">
        <w:rPr>
          <w:rtl w:val="0"/>
        </w:rPr>
        <w:t xml:space="preserve">5</w:t>
      </w:r>
      <w:r w:rsidDel="00000000" w:rsidR="00000000" w:rsidRPr="00000000">
        <w:rPr>
          <w:vertAlign w:val="baseline"/>
          <w:rtl w:val="0"/>
        </w:rPr>
        <w:t xml:space="preserve"> Treinamento e ajuste do modelo</w:t>
      </w:r>
    </w:p>
    <w:p w:rsidR="00000000" w:rsidDel="00000000" w:rsidP="00000000" w:rsidRDefault="00000000" w:rsidRPr="00000000" w14:paraId="0000009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processo de treinamento consistirá na aplicação da técnica de aprendizado por transferência, utilizando o modelo BERTimbau (disponível na biblioteca Transformers) como base para a detecção de conflitos em textos em língua portuguesa. Esse processo será realizado em ambiente Python e envolverá tarefas como a importação e inicialização do modelo pré-treinado, o ajuste fino (fine-tuning) para a detecção de conflitos e, por fim, a otimização de parâmetros, como a taxa de aprendizado, visando identificar a configuração que maximize a eficiência do modelo.</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O modelo resultante desta etapa será incorporado à biblioteca desenvolvida, compondo o módulo responsável pela identificação automática de conflitos em textos.</w:t>
      </w:r>
    </w:p>
    <w:p w:rsidR="00000000" w:rsidDel="00000000" w:rsidP="00000000" w:rsidRDefault="00000000" w:rsidRPr="00000000" w14:paraId="0000009A">
      <w:pPr>
        <w:pStyle w:val="Heading2"/>
        <w:keepNext w:val="1"/>
        <w:keepLines w:val="1"/>
        <w:spacing w:after="80" w:before="360" w:lineRule="auto"/>
        <w:rPr>
          <w:vertAlign w:val="baseline"/>
        </w:rPr>
      </w:pPr>
      <w:bookmarkStart w:colFirst="0" w:colLast="0" w:name="_heading=h.g92r7o7200xf" w:id="11"/>
      <w:bookmarkEnd w:id="11"/>
      <w:r w:rsidDel="00000000" w:rsidR="00000000" w:rsidRPr="00000000">
        <w:rPr>
          <w:rtl w:val="0"/>
        </w:rPr>
        <w:t xml:space="preserve">4</w:t>
      </w:r>
      <w:r w:rsidDel="00000000" w:rsidR="00000000" w:rsidRPr="00000000">
        <w:rPr>
          <w:vertAlign w:val="baseline"/>
          <w:rtl w:val="0"/>
        </w:rPr>
        <w:t xml:space="preserve">.</w:t>
      </w:r>
      <w:r w:rsidDel="00000000" w:rsidR="00000000" w:rsidRPr="00000000">
        <w:rPr>
          <w:rtl w:val="0"/>
        </w:rPr>
        <w:t xml:space="preserve">6</w:t>
      </w:r>
      <w:r w:rsidDel="00000000" w:rsidR="00000000" w:rsidRPr="00000000">
        <w:rPr>
          <w:vertAlign w:val="baseline"/>
          <w:rtl w:val="0"/>
        </w:rPr>
        <w:t xml:space="preserve"> Desenvolvimento da biblioteca e documentação</w:t>
      </w:r>
    </w:p>
    <w:p w:rsidR="00000000" w:rsidDel="00000000" w:rsidP="00000000" w:rsidRDefault="00000000" w:rsidRPr="00000000" w14:paraId="0000009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etapa consiste na síntese de uma biblioteca em linguagem Python voltada à detecção de conflitos em interações textuais, utilizando aprendizado por transferência a partir do modelo BERTimbau. O núcleo central da biblioteca será o modelo BERTimbau treinado na seção 3.4, especializado na tarefa de identificação de conflitos. Objetiva-se que esta biblioteca forneça uma interface de alto nível que permita a aplicação da técnica em novos conjuntos de dados ou em outros projetos. O código-fonte e os principais resultados serão disponibilizados em um repositório público, acompanhado de exemplos de uso, testes e instruções de instalação, com o objetivo de garantir a reprodutibilidade e transparência do trabalho.</w:t>
      </w:r>
    </w:p>
    <w:p w:rsidR="00000000" w:rsidDel="00000000" w:rsidP="00000000" w:rsidRDefault="00000000" w:rsidRPr="00000000" w14:paraId="0000009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pStyle w:val="Heading1"/>
        <w:spacing w:after="120" w:lineRule="auto"/>
        <w:rPr>
          <w:rFonts w:ascii="Times New Roman" w:cs="Times New Roman" w:eastAsia="Times New Roman" w:hAnsi="Times New Roman"/>
          <w:b w:val="1"/>
          <w:bCs w:val="1"/>
          <w:color w:val="000000"/>
        </w:rPr>
      </w:pPr>
      <w:bookmarkStart w:colFirst="0" w:colLast="0" w:name="_heading=h.fxiobzau0l0t" w:id="12"/>
      <w:bookmarkEnd w:id="12"/>
      <w:r w:rsidDel="00000000" w:rsidR="00000000" w:rsidRPr="00000000">
        <w:rPr>
          <w:rFonts w:ascii="Times New Roman" w:cs="Times New Roman" w:eastAsia="Times New Roman" w:hAnsi="Times New Roman"/>
          <w:b w:val="1"/>
          <w:bCs w:val="1"/>
          <w:color w:val="000000"/>
          <w:rtl w:val="0"/>
        </w:rPr>
        <w:t xml:space="preserve">5. Resultados</w:t>
      </w:r>
    </w:p>
    <w:p w:rsidR="00000000" w:rsidDel="00000000" w:rsidP="00000000" w:rsidRDefault="00000000" w:rsidRPr="00000000" w14:paraId="0000009E">
      <w:pPr>
        <w:pStyle w:val="Heading2"/>
        <w:rPr/>
      </w:pPr>
      <w:bookmarkStart w:colFirst="0" w:colLast="0" w:name="_heading=h.686lnabnw778" w:id="13"/>
      <w:bookmarkEnd w:id="13"/>
      <w:r w:rsidDel="00000000" w:rsidR="00000000" w:rsidRPr="00000000">
        <w:rPr>
          <w:rtl w:val="0"/>
        </w:rPr>
        <w:t xml:space="preserve">5.1 Avaliação da consistência da anotação</w:t>
      </w:r>
    </w:p>
    <w:p w:rsidR="00000000" w:rsidDel="00000000" w:rsidP="00000000" w:rsidRDefault="00000000" w:rsidRPr="00000000" w14:paraId="0000009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seção apresenta os resultados obtidos a partir da comparação entre as classificações realizadas pelos dois anotadores, com o objetivo de avaliar a consistência e a confiabilidade do processo de rotulação. </w:t>
      </w:r>
    </w:p>
    <w:p w:rsidR="00000000" w:rsidDel="00000000" w:rsidP="00000000" w:rsidRDefault="00000000" w:rsidRPr="00000000" w14:paraId="000000A0">
      <w:pPr>
        <w:pStyle w:val="Heading2"/>
        <w:rPr>
          <w:rFonts w:ascii="Times New Roman" w:cs="Times New Roman" w:eastAsia="Times New Roman" w:hAnsi="Times New Roman"/>
          <w:sz w:val="24"/>
          <w:szCs w:val="24"/>
        </w:rPr>
      </w:pPr>
      <w:bookmarkStart w:colFirst="0" w:colLast="0" w:name="_heading=h.9f7d34n0z2k8" w:id="14"/>
      <w:bookmarkEnd w:id="14"/>
      <w:r w:rsidDel="00000000" w:rsidR="00000000" w:rsidRPr="00000000">
        <w:rPr>
          <w:rtl w:val="0"/>
        </w:rPr>
        <w:t xml:space="preserve">5.1.1 Dataset temático sobre o aborto</w:t>
      </w:r>
      <w:r w:rsidDel="00000000" w:rsidR="00000000" w:rsidRPr="00000000">
        <w:rPr>
          <w:rtl w:val="0"/>
        </w:rPr>
      </w:r>
    </w:p>
    <w:p w:rsidR="00000000" w:rsidDel="00000000" w:rsidP="00000000" w:rsidRDefault="00000000" w:rsidRPr="00000000" w14:paraId="000000A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matrizes de confusão, construídas separadamente para cada categoria de pares de tweets (respostas, citações e tweets originais), indicam um alto nível de concordância geral entre os avaliadores, conforme ilustrado na figura 2. Essa concordância é evidenciada pela concentração de valores na diagonal principal das matrizes, que representam classificações coincidentes entre os avaliadores para aquela respectiva classe de pares de tweets avaliados. </w:t>
      </w:r>
    </w:p>
    <w:p w:rsidR="00000000" w:rsidDel="00000000" w:rsidP="00000000" w:rsidRDefault="00000000" w:rsidRPr="00000000" w14:paraId="000000A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particular, observa-se que os pares do tipo respostas e citações apresentam maior taxa de concordância, indicando que, nesses casos, os anotadores tendem a interpretar de forma semelhante a presença ou ausência de conflito, conforme os critérios estabelecidos na tabela de anotação. Esse resultado já era esperado devido a natureza dessas interações, que possuem vínculos estruturais explícitos entre os tweets, como encadeamentos de resposta ou referência direta, o que facilita a identificação de relações semânticas e possíveis manifestações de antagonismo. </w:t>
      </w:r>
    </w:p>
    <w:p w:rsidR="00000000" w:rsidDel="00000000" w:rsidP="00000000" w:rsidRDefault="00000000" w:rsidRPr="00000000" w14:paraId="000000A3">
      <w:pPr>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63078" cy="1642868"/>
            <wp:effectExtent b="0" l="0" r="0" t="0"/>
            <wp:docPr id="7" name="image1.png"/>
            <a:graphic>
              <a:graphicData uri="http://schemas.openxmlformats.org/drawingml/2006/picture">
                <pic:pic>
                  <pic:nvPicPr>
                    <pic:cNvPr id="0" name="image1.png"/>
                    <pic:cNvPicPr preferRelativeResize="0"/>
                  </pic:nvPicPr>
                  <pic:blipFill>
                    <a:blip r:embed="rId8"/>
                    <a:srcRect b="3400" l="1358" r="2039" t="2210"/>
                    <a:stretch>
                      <a:fillRect/>
                    </a:stretch>
                  </pic:blipFill>
                  <pic:spPr>
                    <a:xfrm>
                      <a:off x="0" y="0"/>
                      <a:ext cx="1763078" cy="164286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752318" cy="1627152"/>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752318" cy="1627152"/>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753553" cy="1624029"/>
            <wp:effectExtent b="0" l="0" r="0" t="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753553" cy="1624029"/>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2 - Matriz de confusão: Classificando tweets sobre aborto</w:t>
      </w:r>
    </w:p>
    <w:p w:rsidR="00000000" w:rsidDel="00000000" w:rsidP="00000000" w:rsidRDefault="00000000" w:rsidRPr="00000000" w14:paraId="000000A5">
      <w:pPr>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Por outro lado, os pares de tweets originais apresentam um número um pouco maior de divergências entre os anotadores, ainda que em baixa proporção. Esse comportamento pode ser explicado pela ausência de uma relação estrutural direta entre os pares de tweets, uma vez que esses pares foram gerados por meio de amostragem aleatória. Desta forma, a tarefa de classificação torna-se mais dependente de interpretação contextual e, consequentemente, mais suscetível a variações individuais entre os avaliadores, exigindo, portanto, os ajustes comentados na seção 4. </w:t>
      </w:r>
    </w:p>
    <w:p w:rsidR="00000000" w:rsidDel="00000000" w:rsidP="00000000" w:rsidRDefault="00000000" w:rsidRPr="00000000" w14:paraId="000000A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Apesar disso, os resultados permaneceram consistentes, apresentando uma taxa de concordância de 82% para essa categoria, indicando que mesmo em cenários com menor suporte estrutural, os critérios definidos para anotação se mostram adequados para a identificação de relações de conflito.</w:t>
      </w:r>
    </w:p>
    <w:p w:rsidR="00000000" w:rsidDel="00000000" w:rsidP="00000000" w:rsidRDefault="00000000" w:rsidRPr="00000000" w14:paraId="000000A7">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Style w:val="Heading1"/>
        <w:spacing w:after="120" w:lineRule="auto"/>
        <w:rPr>
          <w:rFonts w:ascii="Times New Roman" w:cs="Times New Roman" w:eastAsia="Times New Roman" w:hAnsi="Times New Roman"/>
          <w:b w:val="1"/>
          <w:bCs w:val="1"/>
          <w:color w:val="000000"/>
        </w:rPr>
      </w:pPr>
      <w:bookmarkStart w:colFirst="0" w:colLast="0" w:name="_heading=h.tyjcwt" w:id="15"/>
      <w:bookmarkEnd w:id="15"/>
      <w:r w:rsidDel="00000000" w:rsidR="00000000" w:rsidRPr="00000000">
        <w:rPr>
          <w:rFonts w:ascii="Times New Roman" w:cs="Times New Roman" w:eastAsia="Times New Roman" w:hAnsi="Times New Roman"/>
          <w:b w:val="1"/>
          <w:bCs w:val="1"/>
          <w:color w:val="000000"/>
          <w:rtl w:val="0"/>
        </w:rPr>
        <w:t xml:space="preserve">6. Cronograma de atividades</w:t>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Preparação</w:t>
      </w:r>
    </w:p>
    <w:p w:rsidR="00000000" w:rsidDel="00000000" w:rsidP="00000000" w:rsidRDefault="00000000" w:rsidRPr="00000000" w14:paraId="000000AA">
      <w:pPr>
        <w:numPr>
          <w:ilvl w:val="1"/>
          <w:numId w:val="1"/>
        </w:numPr>
        <w:pBdr>
          <w:top w:space="0" w:sz="0" w:val="nil"/>
          <w:left w:space="0" w:sz="0" w:val="nil"/>
          <w:bottom w:space="0" w:sz="0" w:val="nil"/>
          <w:right w:space="0" w:sz="0" w:val="nil"/>
          <w:between w:space="0" w:sz="0" w:val="nil"/>
        </w:pBd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Pesquisa ampla de temas e áreas (</w:t>
      </w:r>
      <w:r w:rsidDel="00000000" w:rsidR="00000000" w:rsidRPr="00000000">
        <w:rPr>
          <w:rFonts w:ascii="Times New Roman" w:cs="Times New Roman" w:eastAsia="Times New Roman" w:hAnsi="Times New Roman"/>
          <w:b w:val="1"/>
          <w:bCs w:val="1"/>
          <w:i w:val="1"/>
          <w:iCs w:val="1"/>
          <w:sz w:val="24"/>
          <w:szCs w:val="24"/>
          <w:rtl w:val="0"/>
        </w:rPr>
        <w:t xml:space="preserve">Ambos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B">
      <w:pPr>
        <w:numPr>
          <w:ilvl w:val="1"/>
          <w:numId w:val="1"/>
        </w:numPr>
        <w:pBdr>
          <w:top w:space="0" w:sz="0" w:val="nil"/>
          <w:left w:space="0" w:sz="0" w:val="nil"/>
          <w:bottom w:space="0" w:sz="0" w:val="nil"/>
          <w:right w:space="0" w:sz="0" w:val="nil"/>
          <w:between w:space="0" w:sz="0" w:val="nil"/>
        </w:pBd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Pesquisa de orientação (</w:t>
      </w:r>
      <w:r w:rsidDel="00000000" w:rsidR="00000000" w:rsidRPr="00000000">
        <w:rPr>
          <w:rFonts w:ascii="Times New Roman" w:cs="Times New Roman" w:eastAsia="Times New Roman" w:hAnsi="Times New Roman"/>
          <w:b w:val="1"/>
          <w:bCs w:val="1"/>
          <w:i w:val="1"/>
          <w:iCs w:val="1"/>
          <w:sz w:val="24"/>
          <w:szCs w:val="24"/>
          <w:rtl w:val="0"/>
        </w:rPr>
        <w:t xml:space="preserve">Ambos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C">
      <w:pPr>
        <w:numPr>
          <w:ilvl w:val="1"/>
          <w:numId w:val="1"/>
        </w:numPr>
        <w:pBdr>
          <w:top w:space="0" w:sz="0" w:val="nil"/>
          <w:left w:space="0" w:sz="0" w:val="nil"/>
          <w:bottom w:space="0" w:sz="0" w:val="nil"/>
          <w:right w:space="0" w:sz="0" w:val="nil"/>
          <w:between w:space="0" w:sz="0" w:val="nil"/>
        </w:pBd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Definir tema, problema e os objetivos do trabalho (</w:t>
      </w:r>
      <w:r w:rsidDel="00000000" w:rsidR="00000000" w:rsidRPr="00000000">
        <w:rPr>
          <w:rFonts w:ascii="Times New Roman" w:cs="Times New Roman" w:eastAsia="Times New Roman" w:hAnsi="Times New Roman"/>
          <w:b w:val="1"/>
          <w:bCs w:val="1"/>
          <w:i w:val="1"/>
          <w:iCs w:val="1"/>
          <w:color w:val="000000"/>
          <w:sz w:val="24"/>
          <w:szCs w:val="24"/>
          <w:rtl w:val="0"/>
        </w:rPr>
        <w:t xml:space="preserve">Ambos</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Levantamento bibliográfico</w:t>
      </w:r>
      <w:r w:rsidDel="00000000" w:rsidR="00000000" w:rsidRPr="00000000">
        <w:rPr>
          <w:rtl w:val="0"/>
        </w:rPr>
      </w:r>
    </w:p>
    <w:p w:rsidR="00000000" w:rsidDel="00000000" w:rsidP="00000000" w:rsidRDefault="00000000" w:rsidRPr="00000000" w14:paraId="000000AE">
      <w:pPr>
        <w:numPr>
          <w:ilvl w:val="1"/>
          <w:numId w:val="1"/>
        </w:numPr>
        <w:pBdr>
          <w:top w:space="0" w:sz="0" w:val="nil"/>
          <w:left w:space="0" w:sz="0" w:val="nil"/>
          <w:bottom w:space="0" w:sz="0" w:val="nil"/>
          <w:right w:space="0" w:sz="0" w:val="nil"/>
          <w:between w:space="0" w:sz="0" w:val="nil"/>
        </w:pBd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Levantamento bibliográfico (</w:t>
      </w:r>
      <w:r w:rsidDel="00000000" w:rsidR="00000000" w:rsidRPr="00000000">
        <w:rPr>
          <w:rFonts w:ascii="Times New Roman" w:cs="Times New Roman" w:eastAsia="Times New Roman" w:hAnsi="Times New Roman"/>
          <w:b w:val="1"/>
          <w:bCs w:val="1"/>
          <w:i w:val="1"/>
          <w:iCs w:val="1"/>
          <w:sz w:val="24"/>
          <w:szCs w:val="24"/>
          <w:rtl w:val="0"/>
        </w:rPr>
        <w:t xml:space="preserve">Caio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AF">
      <w:pPr>
        <w:numPr>
          <w:ilvl w:val="1"/>
          <w:numId w:val="1"/>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Estudo minucioso acerca dos principais conceitos (</w:t>
      </w:r>
      <w:r w:rsidDel="00000000" w:rsidR="00000000" w:rsidRPr="00000000">
        <w:rPr>
          <w:rFonts w:ascii="Times New Roman" w:cs="Times New Roman" w:eastAsia="Times New Roman" w:hAnsi="Times New Roman"/>
          <w:b w:val="1"/>
          <w:bCs w:val="1"/>
          <w:i w:val="1"/>
          <w:iCs w:val="1"/>
          <w:sz w:val="24"/>
          <w:szCs w:val="24"/>
          <w:rtl w:val="0"/>
        </w:rPr>
        <w:t xml:space="preserve">Ambos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B0">
      <w:pPr>
        <w:numPr>
          <w:ilvl w:val="0"/>
          <w:numId w:val="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Fundamentação teórica</w:t>
      </w:r>
      <w:r w:rsidDel="00000000" w:rsidR="00000000" w:rsidRPr="00000000">
        <w:rPr>
          <w:rtl w:val="0"/>
        </w:rPr>
      </w:r>
    </w:p>
    <w:p w:rsidR="00000000" w:rsidDel="00000000" w:rsidP="00000000" w:rsidRDefault="00000000" w:rsidRPr="00000000" w14:paraId="000000B1">
      <w:pPr>
        <w:numPr>
          <w:ilvl w:val="1"/>
          <w:numId w:val="1"/>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Redação do projeto de execução (</w:t>
      </w:r>
      <w:r w:rsidDel="00000000" w:rsidR="00000000" w:rsidRPr="00000000">
        <w:rPr>
          <w:rFonts w:ascii="Times New Roman" w:cs="Times New Roman" w:eastAsia="Times New Roman" w:hAnsi="Times New Roman"/>
          <w:b w:val="1"/>
          <w:bCs w:val="1"/>
          <w:i w:val="1"/>
          <w:iCs w:val="1"/>
          <w:sz w:val="24"/>
          <w:szCs w:val="24"/>
          <w:rtl w:val="0"/>
        </w:rPr>
        <w:t xml:space="preserve">Ambos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Construção do dataset</w:t>
      </w:r>
    </w:p>
    <w:p w:rsidR="00000000" w:rsidDel="00000000" w:rsidP="00000000" w:rsidRDefault="00000000" w:rsidRPr="00000000" w14:paraId="000000B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Estudo e estruturação do payload JSON em pré-datasets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Caio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Limpeza e pré-processamento dos pré-datasets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Victor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Construção da tabela de critérios de anotação (</w:t>
      </w:r>
      <w:r w:rsidDel="00000000" w:rsidR="00000000" w:rsidRPr="00000000">
        <w:rPr>
          <w:rFonts w:ascii="Times New Roman" w:cs="Times New Roman" w:eastAsia="Times New Roman" w:hAnsi="Times New Roman"/>
          <w:b w:val="1"/>
          <w:bCs w:val="1"/>
          <w:i w:val="1"/>
          <w:iCs w:val="1"/>
          <w:sz w:val="24"/>
          <w:szCs w:val="24"/>
          <w:rtl w:val="0"/>
        </w:rPr>
        <w:t xml:space="preserve">Caio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6">
      <w:pPr>
        <w:numPr>
          <w:ilvl w:val="1"/>
          <w:numId w:val="1"/>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Geração de datasets temáticos com pares de tweets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Ambos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Experimento inicial de anotação do dataset (</w:t>
      </w:r>
      <w:r w:rsidDel="00000000" w:rsidR="00000000" w:rsidRPr="00000000">
        <w:rPr>
          <w:rFonts w:ascii="Times New Roman" w:cs="Times New Roman" w:eastAsia="Times New Roman" w:hAnsi="Times New Roman"/>
          <w:b w:val="1"/>
          <w:bCs w:val="1"/>
          <w:i w:val="1"/>
          <w:iCs w:val="1"/>
          <w:sz w:val="24"/>
          <w:szCs w:val="24"/>
          <w:rtl w:val="0"/>
        </w:rPr>
        <w:t xml:space="preserve">Ambos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Redação do projeto de execução II (</w:t>
      </w:r>
      <w:r w:rsidDel="00000000" w:rsidR="00000000" w:rsidRPr="00000000">
        <w:rPr>
          <w:rFonts w:ascii="Times New Roman" w:cs="Times New Roman" w:eastAsia="Times New Roman" w:hAnsi="Times New Roman"/>
          <w:b w:val="1"/>
          <w:bCs w:val="1"/>
          <w:i w:val="1"/>
          <w:iCs w:val="1"/>
          <w:sz w:val="24"/>
          <w:szCs w:val="24"/>
          <w:rtl w:val="0"/>
        </w:rPr>
        <w:t xml:space="preserve">Ambos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Anotação do dataset (</w:t>
      </w:r>
      <w:r w:rsidDel="00000000" w:rsidR="00000000" w:rsidRPr="00000000">
        <w:rPr>
          <w:rFonts w:ascii="Times New Roman" w:cs="Times New Roman" w:eastAsia="Times New Roman" w:hAnsi="Times New Roman"/>
          <w:b w:val="1"/>
          <w:bCs w:val="1"/>
          <w:i w:val="1"/>
          <w:iCs w:val="1"/>
          <w:sz w:val="24"/>
          <w:szCs w:val="24"/>
          <w:rtl w:val="0"/>
        </w:rPr>
        <w:t xml:space="preserve">Ambos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Desenvolvimento e implementação</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Implementação do modelo de aprendizado de máquina (</w:t>
      </w:r>
      <w:r w:rsidDel="00000000" w:rsidR="00000000" w:rsidRPr="00000000">
        <w:rPr>
          <w:rFonts w:ascii="Times New Roman" w:cs="Times New Roman" w:eastAsia="Times New Roman" w:hAnsi="Times New Roman"/>
          <w:b w:val="1"/>
          <w:bCs w:val="1"/>
          <w:i w:val="1"/>
          <w:iCs w:val="1"/>
          <w:sz w:val="24"/>
          <w:szCs w:val="24"/>
          <w:rtl w:val="0"/>
        </w:rPr>
        <w:t xml:space="preserve">Ambos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Treinamento do modelo e ajustes de parâmetros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Victor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Testes e avaliação de desempenho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Ambos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E">
      <w:pPr>
        <w:numPr>
          <w:ilvl w:val="1"/>
          <w:numId w:val="1"/>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Estudos de caso (</w:t>
      </w:r>
      <w:r w:rsidDel="00000000" w:rsidR="00000000" w:rsidRPr="00000000">
        <w:rPr>
          <w:rFonts w:ascii="Times New Roman" w:cs="Times New Roman" w:eastAsia="Times New Roman" w:hAnsi="Times New Roman"/>
          <w:b w:val="1"/>
          <w:bCs w:val="1"/>
          <w:i w:val="1"/>
          <w:iCs w:val="1"/>
          <w:sz w:val="24"/>
          <w:szCs w:val="24"/>
          <w:rtl w:val="0"/>
        </w:rPr>
        <w:t xml:space="preserve">Victor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Produção do relatório e defesa</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Produção do relatório final e pôster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Ambos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Revisão do trabalho (</w:t>
      </w:r>
      <w:r w:rsidDel="00000000" w:rsidR="00000000" w:rsidRPr="00000000">
        <w:rPr>
          <w:rFonts w:ascii="Times New Roman" w:cs="Times New Roman" w:eastAsia="Times New Roman" w:hAnsi="Times New Roman"/>
          <w:b w:val="1"/>
          <w:bCs w:val="1"/>
          <w:i w:val="1"/>
          <w:iCs w:val="1"/>
          <w:sz w:val="24"/>
          <w:szCs w:val="24"/>
          <w:rtl w:val="0"/>
        </w:rPr>
        <w:t xml:space="preserve">Ambos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Defesa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Ambos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1 – Cronograma de atividades previstas</w:t>
      </w:r>
    </w:p>
    <w:tbl>
      <w:tblPr>
        <w:tblStyle w:val="Table2"/>
        <w:tblW w:w="8492.999999999996"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3"/>
        <w:gridCol w:w="588"/>
        <w:gridCol w:w="647"/>
        <w:gridCol w:w="647"/>
        <w:gridCol w:w="647"/>
        <w:gridCol w:w="647"/>
        <w:gridCol w:w="647"/>
        <w:gridCol w:w="647"/>
        <w:gridCol w:w="648"/>
        <w:gridCol w:w="648"/>
        <w:gridCol w:w="648"/>
        <w:gridCol w:w="648"/>
        <w:gridCol w:w="648"/>
        <w:tblGridChange w:id="0">
          <w:tblGrid>
            <w:gridCol w:w="783"/>
            <w:gridCol w:w="588"/>
            <w:gridCol w:w="647"/>
            <w:gridCol w:w="647"/>
            <w:gridCol w:w="647"/>
            <w:gridCol w:w="647"/>
            <w:gridCol w:w="647"/>
            <w:gridCol w:w="647"/>
            <w:gridCol w:w="648"/>
            <w:gridCol w:w="648"/>
            <w:gridCol w:w="648"/>
            <w:gridCol w:w="648"/>
            <w:gridCol w:w="648"/>
          </w:tblGrid>
        </w:tblGridChange>
      </w:tblGrid>
      <w:tr>
        <w:trPr>
          <w:cantSplit w:val="0"/>
          <w:tblHeader w:val="0"/>
        </w:trPr>
        <w:tc>
          <w:tcPr>
            <w:vMerge w:val="restart"/>
            <w:vAlign w:val="center"/>
          </w:tcPr>
          <w:p w:rsidR="00000000" w:rsidDel="00000000" w:rsidP="00000000" w:rsidRDefault="00000000" w:rsidRPr="00000000" w14:paraId="000000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Etapa</w:t>
            </w:r>
          </w:p>
        </w:tc>
        <w:tc>
          <w:tcPr>
            <w:gridSpan w:val="12"/>
          </w:tcPr>
          <w:p w:rsidR="00000000" w:rsidDel="00000000" w:rsidP="00000000" w:rsidRDefault="00000000" w:rsidRPr="00000000" w14:paraId="000000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Mês</w:t>
            </w:r>
          </w:p>
        </w:tc>
      </w:tr>
      <w:tr>
        <w:trPr>
          <w:cantSplit w:val="0"/>
          <w:tblHeader w:val="0"/>
        </w:trPr>
        <w:tc>
          <w:tcPr>
            <w:vMerge w:val="continue"/>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p w:rsidR="00000000" w:rsidDel="00000000" w:rsidP="00000000" w:rsidRDefault="00000000" w:rsidRPr="00000000" w14:paraId="000000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p w:rsidR="00000000" w:rsidDel="00000000" w:rsidP="00000000" w:rsidRDefault="00000000" w:rsidRPr="00000000" w14:paraId="000000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c>
          <w:tcPr/>
          <w:p w:rsidR="00000000" w:rsidDel="00000000" w:rsidP="00000000" w:rsidRDefault="00000000" w:rsidRPr="00000000" w14:paraId="000000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c>
          <w:tcPr/>
          <w:p w:rsidR="00000000" w:rsidDel="00000000" w:rsidP="00000000" w:rsidRDefault="00000000" w:rsidRPr="00000000" w14:paraId="000000D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p w:rsidR="00000000" w:rsidDel="00000000" w:rsidP="00000000" w:rsidRDefault="00000000" w:rsidRPr="00000000" w14:paraId="000000D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c>
          <w:tcPr/>
          <w:p w:rsidR="00000000" w:rsidDel="00000000" w:rsidP="00000000" w:rsidRDefault="00000000" w:rsidRPr="00000000" w14:paraId="000000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w:t>
            </w:r>
          </w:p>
        </w:tc>
        <w:tc>
          <w:tcPr/>
          <w:p w:rsidR="00000000" w:rsidDel="00000000" w:rsidP="00000000" w:rsidRDefault="00000000" w:rsidRPr="00000000" w14:paraId="000000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c>
          <w:tcPr/>
          <w:p w:rsidR="00000000" w:rsidDel="00000000" w:rsidP="00000000" w:rsidRDefault="00000000" w:rsidRPr="00000000" w14:paraId="000000D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c>
          <w:tcPr/>
          <w:p w:rsidR="00000000" w:rsidDel="00000000" w:rsidP="00000000" w:rsidRDefault="00000000" w:rsidRPr="00000000" w14:paraId="000000E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E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0E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p w:rsidR="00000000" w:rsidDel="00000000" w:rsidP="00000000" w:rsidRDefault="00000000" w:rsidRPr="00000000" w14:paraId="000000E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w:t>
            </w:r>
          </w:p>
        </w:tc>
        <w:tc>
          <w:tcPr/>
          <w:p w:rsidR="00000000" w:rsidDel="00000000" w:rsidP="00000000" w:rsidRDefault="00000000" w:rsidRPr="00000000" w14:paraId="000000E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0E5">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6">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7">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8">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9">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A">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B">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C">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D">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E">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F">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w:t>
            </w:r>
          </w:p>
        </w:tc>
        <w:tc>
          <w:tcPr/>
          <w:p w:rsidR="00000000" w:rsidDel="00000000" w:rsidP="00000000" w:rsidRDefault="00000000" w:rsidRPr="00000000" w14:paraId="000000F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0F2">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3">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4">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5">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6">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7">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8">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9">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A">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B">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C">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w:t>
            </w:r>
          </w:p>
        </w:tc>
        <w:tc>
          <w:tcPr/>
          <w:p w:rsidR="00000000" w:rsidDel="00000000" w:rsidP="00000000" w:rsidRDefault="00000000" w:rsidRPr="00000000" w14:paraId="000000FE">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00">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1">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2">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3">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4">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5">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6">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7">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8">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9">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w:t>
            </w:r>
          </w:p>
        </w:tc>
        <w:tc>
          <w:tcPr/>
          <w:p w:rsidR="00000000" w:rsidDel="00000000" w:rsidP="00000000" w:rsidRDefault="00000000" w:rsidRPr="00000000" w14:paraId="0000010B">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0D">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E">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F">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0">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1">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2">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3">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4">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5">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6">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w:t>
            </w:r>
          </w:p>
        </w:tc>
        <w:tc>
          <w:tcPr/>
          <w:p w:rsidR="00000000" w:rsidDel="00000000" w:rsidP="00000000" w:rsidRDefault="00000000" w:rsidRPr="00000000" w14:paraId="00000118">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1C">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D">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E">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F">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0">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1">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2">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3">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w:t>
            </w:r>
          </w:p>
        </w:tc>
        <w:tc>
          <w:tcPr/>
          <w:p w:rsidR="00000000" w:rsidDel="00000000" w:rsidP="00000000" w:rsidRDefault="00000000" w:rsidRPr="00000000" w14:paraId="00000125">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29">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A">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B">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C">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D">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E">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F">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0">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w:t>
            </w:r>
          </w:p>
        </w:tc>
        <w:tc>
          <w:tcPr/>
          <w:p w:rsidR="00000000" w:rsidDel="00000000" w:rsidP="00000000" w:rsidRDefault="00000000" w:rsidRPr="00000000" w14:paraId="00000132">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3">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4">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5">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38">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9">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A">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B">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C">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D">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4.b.</w:t>
            </w:r>
          </w:p>
        </w:tc>
        <w:tc>
          <w:tcPr/>
          <w:p w:rsidR="00000000" w:rsidDel="00000000" w:rsidP="00000000" w:rsidRDefault="00000000" w:rsidRPr="00000000" w14:paraId="0000013F">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0">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1">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2">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45">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6">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7">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8">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9">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A">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4.c.</w:t>
            </w:r>
          </w:p>
        </w:tc>
        <w:tc>
          <w:tcPr/>
          <w:p w:rsidR="00000000" w:rsidDel="00000000" w:rsidP="00000000" w:rsidRDefault="00000000" w:rsidRPr="00000000" w14:paraId="0000014C">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D">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E">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F">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0">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53">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4">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5">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6">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7">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4.d.</w:t>
            </w:r>
          </w:p>
        </w:tc>
        <w:tc>
          <w:tcPr/>
          <w:p w:rsidR="00000000" w:rsidDel="00000000" w:rsidP="00000000" w:rsidRDefault="00000000" w:rsidRPr="00000000" w14:paraId="00000159">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A">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B">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C">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D">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E">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61">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2">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3">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4">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4.e.</w:t>
            </w:r>
          </w:p>
        </w:tc>
        <w:tc>
          <w:tcPr/>
          <w:p w:rsidR="00000000" w:rsidDel="00000000" w:rsidP="00000000" w:rsidRDefault="00000000" w:rsidRPr="00000000" w14:paraId="00000166">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7">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8">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9">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A">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B">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C">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6E">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F">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0">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1">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7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4.f.</w:t>
            </w:r>
          </w:p>
        </w:tc>
        <w:tc>
          <w:tcPr/>
          <w:p w:rsidR="00000000" w:rsidDel="00000000" w:rsidP="00000000" w:rsidRDefault="00000000" w:rsidRPr="00000000" w14:paraId="00000173">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4">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5">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6">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7">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8">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9">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7B">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C">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D">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E">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4.g.</w:t>
            </w:r>
          </w:p>
        </w:tc>
        <w:tc>
          <w:tcPr/>
          <w:p w:rsidR="00000000" w:rsidDel="00000000" w:rsidP="00000000" w:rsidRDefault="00000000" w:rsidRPr="00000000" w14:paraId="00000180">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1">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2">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3">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4">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5">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6">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7">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8B">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w:t>
            </w:r>
          </w:p>
        </w:tc>
        <w:tc>
          <w:tcPr/>
          <w:p w:rsidR="00000000" w:rsidDel="00000000" w:rsidP="00000000" w:rsidRDefault="00000000" w:rsidRPr="00000000" w14:paraId="0000018D">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E">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F">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0">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1">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2">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3">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4">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96">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7">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8">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5.b.</w:t>
            </w:r>
          </w:p>
        </w:tc>
        <w:tc>
          <w:tcPr/>
          <w:p w:rsidR="00000000" w:rsidDel="00000000" w:rsidP="00000000" w:rsidRDefault="00000000" w:rsidRPr="00000000" w14:paraId="0000019A">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B">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C">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D">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E">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F">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0">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1">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A3">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4">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5">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A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5.c.</w:t>
            </w:r>
          </w:p>
        </w:tc>
        <w:tc>
          <w:tcPr/>
          <w:p w:rsidR="00000000" w:rsidDel="00000000" w:rsidP="00000000" w:rsidRDefault="00000000" w:rsidRPr="00000000" w14:paraId="000001A7">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8">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9">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A">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B">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C">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D">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E">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B1">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2">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5.d.</w:t>
            </w:r>
          </w:p>
        </w:tc>
        <w:tc>
          <w:tcPr/>
          <w:p w:rsidR="00000000" w:rsidDel="00000000" w:rsidP="00000000" w:rsidRDefault="00000000" w:rsidRPr="00000000" w14:paraId="000001B4">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5">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6">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7">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8">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9">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A">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B">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C">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BE">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F">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45.9765625" w:hRule="atLeast"/>
          <w:tblHeader w:val="0"/>
        </w:trPr>
        <w:tc>
          <w:tcPr/>
          <w:p w:rsidR="00000000" w:rsidDel="00000000" w:rsidP="00000000" w:rsidRDefault="00000000" w:rsidRPr="00000000" w14:paraId="000001C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6.a.</w:t>
            </w:r>
          </w:p>
        </w:tc>
        <w:tc>
          <w:tcPr/>
          <w:p w:rsidR="00000000" w:rsidDel="00000000" w:rsidP="00000000" w:rsidRDefault="00000000" w:rsidRPr="00000000" w14:paraId="000001C1">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2">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3">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4">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5">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6">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7">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8">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9">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CC">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6.b.</w:t>
            </w:r>
          </w:p>
        </w:tc>
        <w:tc>
          <w:tcPr/>
          <w:p w:rsidR="00000000" w:rsidDel="00000000" w:rsidP="00000000" w:rsidRDefault="00000000" w:rsidRPr="00000000" w14:paraId="000001CE">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F">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0">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1">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2">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3">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4">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5">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6">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7">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blHeader w:val="0"/>
        </w:trPr>
        <w:tc>
          <w:tcPr/>
          <w:p w:rsidR="00000000" w:rsidDel="00000000" w:rsidP="00000000" w:rsidRDefault="00000000" w:rsidRPr="00000000" w14:paraId="000001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6.c.</w:t>
            </w:r>
          </w:p>
        </w:tc>
        <w:tc>
          <w:tcPr/>
          <w:p w:rsidR="00000000" w:rsidDel="00000000" w:rsidP="00000000" w:rsidRDefault="00000000" w:rsidRPr="00000000" w14:paraId="000001DB">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C">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D">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E">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F">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E0">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E1">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E2">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E3">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E4">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E5">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E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bl>
    <w:p w:rsidR="00000000" w:rsidDel="00000000" w:rsidP="00000000" w:rsidRDefault="00000000" w:rsidRPr="00000000" w14:paraId="000001E7">
      <w:pPr>
        <w:pStyle w:val="Heading1"/>
        <w:spacing w:after="120" w:before="0" w:lineRule="auto"/>
        <w:rPr>
          <w:rFonts w:ascii="Times New Roman" w:cs="Times New Roman" w:eastAsia="Times New Roman" w:hAnsi="Times New Roman"/>
          <w:b w:val="1"/>
          <w:bCs w:val="1"/>
          <w:color w:val="000000"/>
        </w:rPr>
      </w:pPr>
      <w:bookmarkStart w:colFirst="0" w:colLast="0" w:name="_heading=h.vl9c1w46p0o8" w:id="16"/>
      <w:bookmarkEnd w:id="16"/>
      <w:r w:rsidDel="00000000" w:rsidR="00000000" w:rsidRPr="00000000">
        <w:rPr>
          <w:rtl w:val="0"/>
        </w:rPr>
      </w:r>
    </w:p>
    <w:p w:rsidR="00000000" w:rsidDel="00000000" w:rsidP="00000000" w:rsidRDefault="00000000" w:rsidRPr="00000000" w14:paraId="000001E8">
      <w:pPr>
        <w:pStyle w:val="Heading1"/>
        <w:spacing w:after="120" w:before="0" w:lineRule="auto"/>
        <w:rPr>
          <w:rFonts w:ascii="Times New Roman" w:cs="Times New Roman" w:eastAsia="Times New Roman" w:hAnsi="Times New Roman"/>
          <w:b w:val="1"/>
          <w:bCs w:val="1"/>
          <w:color w:val="000000"/>
        </w:rPr>
      </w:pPr>
      <w:bookmarkStart w:colFirst="0" w:colLast="0" w:name="_heading=h.56hb1eiqmdwk" w:id="17"/>
      <w:bookmarkEnd w:id="17"/>
      <w:r w:rsidDel="00000000" w:rsidR="00000000" w:rsidRPr="00000000">
        <w:rPr>
          <w:rFonts w:ascii="Times New Roman" w:cs="Times New Roman" w:eastAsia="Times New Roman" w:hAnsi="Times New Roman"/>
          <w:b w:val="1"/>
          <w:bCs w:val="1"/>
          <w:color w:val="000000"/>
          <w:rtl w:val="0"/>
        </w:rPr>
        <w:t xml:space="preserve">Referências</w:t>
      </w:r>
    </w:p>
    <w:p w:rsidR="00000000" w:rsidDel="00000000" w:rsidP="00000000" w:rsidRDefault="00000000" w:rsidRPr="00000000" w14:paraId="000001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bookmarkStart w:colFirst="0" w:colLast="0" w:name="bookmark=id.c9aslrkduryr" w:id="18"/>
      <w:bookmarkEnd w:id="18"/>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sz w:val="24"/>
          <w:szCs w:val="24"/>
          <w:rtl w:val="0"/>
        </w:rPr>
        <w:t xml:space="preserve">Che-Wei Tsai, Yen-Hao Huang, Tsu-Keng Liao, Didier Fernando Salazar Estrada, Retnani Latifah, and Yi-Shin Chen. 2024. Leveraging Conflicts in Social Media Posts: Unintended Offense Dataset. In Proceedings of the 2024 Conference on Empirical Methods in Natural Language Processing, pages 4512–4522, Miami, Florida, USA. Association for Computational Linguistics.</w:t>
      </w:r>
    </w:p>
    <w:p w:rsidR="00000000" w:rsidDel="00000000" w:rsidP="00000000" w:rsidRDefault="00000000" w:rsidRPr="00000000" w14:paraId="000001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bookmarkStart w:colFirst="0" w:colLast="0" w:name="bookmark=id.6mzbg51fbhsr" w:id="19"/>
      <w:bookmarkEnd w:id="19"/>
      <w:r w:rsidDel="00000000" w:rsidR="00000000" w:rsidRPr="00000000">
        <w:rPr>
          <w:rFonts w:ascii="Times New Roman" w:cs="Times New Roman" w:eastAsia="Times New Roman" w:hAnsi="Times New Roman"/>
          <w:sz w:val="24"/>
          <w:szCs w:val="24"/>
          <w:rtl w:val="0"/>
        </w:rPr>
        <w:t xml:space="preserve">2] Samghabadi, N. S., Patwa, P., Pykl, S., Mukherjee, P., Das, A., &amp; Solorio, T. (2020, May). Aggression and misogyny detection using BERT: A multi-task approach. In Proceedings of the second workshop on trolling, aggression and cyberbullying (pp. 126-131).</w:t>
      </w:r>
    </w:p>
    <w:p w:rsidR="00000000" w:rsidDel="00000000" w:rsidP="00000000" w:rsidRDefault="00000000" w:rsidRPr="00000000" w14:paraId="000001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bookmarkStart w:colFirst="0" w:colLast="0" w:name="bookmark=id.i4uzlp5b40b6" w:id="20"/>
      <w:bookmarkEnd w:id="20"/>
      <w:r w:rsidDel="00000000" w:rsidR="00000000" w:rsidRPr="00000000">
        <w:rPr>
          <w:rFonts w:ascii="Times New Roman" w:cs="Times New Roman" w:eastAsia="Times New Roman" w:hAnsi="Times New Roman"/>
          <w:sz w:val="24"/>
          <w:szCs w:val="24"/>
          <w:rtl w:val="0"/>
        </w:rPr>
        <w:t xml:space="preserve">3] Warke, O., Jose, J. M., Breitsohl, J., &amp; Wang, J. (2024, August). Capturing the Spectrum of Social Media Conflict: A Novel Multi-objective Classification Model. In Proceedings of the 2024 ACM SIGIR International Conference on Theory of Information Retrieval (pp. 215-225).</w:t>
      </w:r>
    </w:p>
    <w:p w:rsidR="00000000" w:rsidDel="00000000" w:rsidP="00000000" w:rsidRDefault="00000000" w:rsidRPr="00000000" w14:paraId="000001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bookmarkStart w:colFirst="0" w:colLast="0" w:name="bookmark=id.2b9gpvop61wa" w:id="21"/>
      <w:bookmarkEnd w:id="21"/>
      <w:r w:rsidDel="00000000" w:rsidR="00000000" w:rsidRPr="00000000">
        <w:rPr>
          <w:rFonts w:ascii="Times New Roman" w:cs="Times New Roman" w:eastAsia="Times New Roman" w:hAnsi="Times New Roman"/>
          <w:rtl w:val="0"/>
        </w:rPr>
        <w:t xml:space="preserve">4] KEMP, S. The global state of digital in April 2023. We Are Social UK, 27 abr. 2023. Disponível em: </w:t>
      </w:r>
      <w:hyperlink r:id="rId11">
        <w:r w:rsidDel="00000000" w:rsidR="00000000" w:rsidRPr="00000000">
          <w:rPr>
            <w:rFonts w:ascii="Times New Roman" w:cs="Times New Roman" w:eastAsia="Times New Roman" w:hAnsi="Times New Roman"/>
            <w:color w:val="0563c1"/>
            <w:u w:val="single"/>
            <w:rtl w:val="0"/>
          </w:rPr>
          <w:t xml:space="preserve">https://wearesocial.com/uk/blog/2023/04/the-global-state-of-digital-in-april-2023</w:t>
        </w:r>
      </w:hyperlink>
      <w:r w:rsidDel="00000000" w:rsidR="00000000" w:rsidRPr="00000000">
        <w:rPr>
          <w:rFonts w:ascii="Times New Roman" w:cs="Times New Roman" w:eastAsia="Times New Roman" w:hAnsi="Times New Roman"/>
          <w:rtl w:val="0"/>
        </w:rPr>
        <w:t xml:space="preserve">. Acesso em: 1 nov. 2025.</w:t>
      </w:r>
    </w:p>
    <w:p w:rsidR="00000000" w:rsidDel="00000000" w:rsidP="00000000" w:rsidRDefault="00000000" w:rsidRPr="00000000" w14:paraId="000001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bookmarkStart w:colFirst="0" w:colLast="0" w:name="bookmark=id.15ems1upg7w3" w:id="22"/>
      <w:bookmarkEnd w:id="22"/>
      <w:r w:rsidDel="00000000" w:rsidR="00000000" w:rsidRPr="00000000">
        <w:rPr>
          <w:rFonts w:ascii="Times New Roman" w:cs="Times New Roman" w:eastAsia="Times New Roman" w:hAnsi="Times New Roman"/>
          <w:rtl w:val="0"/>
        </w:rPr>
        <w:t xml:space="preserve">5] CABRAL, Ana Lúcia Tinoco; GUARANHA, Manoel Francisco. Interações digitais: conflito, argumentação e violência verbal nas redes sociais. Linha D’Água, São Paulo, v. 34, n. 2, p. 117-134, 2021. DOI: 10.11606/issn.2236-4242.v34i2p117-134.</w:t>
      </w:r>
    </w:p>
    <w:p w:rsidR="00000000" w:rsidDel="00000000" w:rsidP="00000000" w:rsidRDefault="00000000" w:rsidRPr="00000000" w14:paraId="000001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bookmarkStart w:colFirst="0" w:colLast="0" w:name="bookmark=id.zekua1m4pxak" w:id="23"/>
      <w:bookmarkEnd w:id="23"/>
      <w:r w:rsidDel="00000000" w:rsidR="00000000" w:rsidRPr="00000000">
        <w:rPr>
          <w:rFonts w:ascii="Times New Roman" w:cs="Times New Roman" w:eastAsia="Times New Roman" w:hAnsi="Times New Roman"/>
          <w:rtl w:val="0"/>
        </w:rPr>
        <w:t xml:space="preserve">6] Souza, B. M., &amp; Vieira, M. A. (2022). Uso das redes sociais, valores democráticos e confiança institucional no Brasil. Em Tese, 19(02), 17-46.</w:t>
      </w:r>
    </w:p>
    <w:p w:rsidR="00000000" w:rsidDel="00000000" w:rsidP="00000000" w:rsidRDefault="00000000" w:rsidRPr="00000000" w14:paraId="000001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bookmarkStart w:colFirst="0" w:colLast="0" w:name="bookmark=id.ahvl2jv0xc5k" w:id="24"/>
      <w:bookmarkEnd w:id="24"/>
      <w:r w:rsidDel="00000000" w:rsidR="00000000" w:rsidRPr="00000000">
        <w:rPr>
          <w:rFonts w:ascii="Times New Roman" w:cs="Times New Roman" w:eastAsia="Times New Roman" w:hAnsi="Times New Roman"/>
          <w:rtl w:val="0"/>
        </w:rPr>
        <w:t xml:space="preserve">7] Saleh, H., Alhothali, A., &amp; Moria, K. (2023). Detection of hate speech using bert and hate speech word embedding with deep model. Applied Artificial Intelligence, 37(1), 2166719.</w:t>
      </w:r>
    </w:p>
    <w:p w:rsidR="00000000" w:rsidDel="00000000" w:rsidP="00000000" w:rsidRDefault="00000000" w:rsidRPr="00000000" w14:paraId="000001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bookmarkStart w:colFirst="0" w:colLast="0" w:name="bookmark=id.q2ysw9t89tub" w:id="25"/>
      <w:bookmarkEnd w:id="25"/>
      <w:r w:rsidDel="00000000" w:rsidR="00000000" w:rsidRPr="00000000">
        <w:rPr>
          <w:rFonts w:ascii="Times New Roman" w:cs="Times New Roman" w:eastAsia="Times New Roman" w:hAnsi="Times New Roman"/>
          <w:rtl w:val="0"/>
        </w:rPr>
        <w:t xml:space="preserve">8] Azzaakiyyah, H. K. (2023). The Impact of Social Media Use on Social Interaction in Contemporary Society. Technology and Society Perspectives (TACIT), 1(1), 1–9. https://doi.org/10.61100/tacit.v1i1.33</w:t>
      </w:r>
    </w:p>
    <w:p w:rsidR="00000000" w:rsidDel="00000000" w:rsidP="00000000" w:rsidRDefault="00000000" w:rsidRPr="00000000" w14:paraId="000001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bookmarkStart w:colFirst="0" w:colLast="0" w:name="bookmark=id.fk3l9qdajnd" w:id="26"/>
      <w:bookmarkEnd w:id="26"/>
      <w:r w:rsidDel="00000000" w:rsidR="00000000" w:rsidRPr="00000000">
        <w:rPr>
          <w:rFonts w:ascii="Times New Roman" w:cs="Times New Roman" w:eastAsia="Times New Roman" w:hAnsi="Times New Roman"/>
          <w:rtl w:val="0"/>
        </w:rPr>
        <w:t xml:space="preserve">9] Nip, J. Y. M., &amp; Berthelier, B. (2024). Social Media Sentiment Analysis. Encyclopedia, 4(4), 1590-1598. </w:t>
      </w:r>
      <w:hyperlink r:id="rId12">
        <w:r w:rsidDel="00000000" w:rsidR="00000000" w:rsidRPr="00000000">
          <w:rPr>
            <w:rFonts w:ascii="Times New Roman" w:cs="Times New Roman" w:eastAsia="Times New Roman" w:hAnsi="Times New Roman"/>
            <w:color w:val="0563c1"/>
            <w:u w:val="single"/>
            <w:rtl w:val="0"/>
          </w:rPr>
          <w:t xml:space="preserve">https://doi.org/10.3390/encyclopedia4040104</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bookmarkStart w:colFirst="0" w:colLast="0" w:name="bookmark=id.o1iciu779j3z" w:id="27"/>
      <w:bookmarkEnd w:id="27"/>
      <w:r w:rsidDel="00000000" w:rsidR="00000000" w:rsidRPr="00000000">
        <w:rPr>
          <w:rFonts w:ascii="Times New Roman" w:cs="Times New Roman" w:eastAsia="Times New Roman" w:hAnsi="Times New Roman"/>
          <w:rtl w:val="0"/>
        </w:rPr>
        <w:t xml:space="preserve">10] Mohammad, S. M. (2021). Sentiment analysis: Automatically detecting valence, emotions, and other affectual states from text. In Emotion measurement (pp. 323-379). Woodhead Publishing.</w:t>
      </w:r>
    </w:p>
    <w:p w:rsidR="00000000" w:rsidDel="00000000" w:rsidP="00000000" w:rsidRDefault="00000000" w:rsidRPr="00000000" w14:paraId="000001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bookmarkStart w:colFirst="0" w:colLast="0" w:name="bookmark=id.w4b6nif23z" w:id="28"/>
      <w:bookmarkEnd w:id="28"/>
      <w:r w:rsidDel="00000000" w:rsidR="00000000" w:rsidRPr="00000000">
        <w:rPr>
          <w:rFonts w:ascii="Times New Roman" w:cs="Times New Roman" w:eastAsia="Times New Roman" w:hAnsi="Times New Roman"/>
          <w:rtl w:val="0"/>
        </w:rPr>
        <w:t xml:space="preserve">11] Melhado, F., &amp; Rabot, J.-M. (2021). Análise de Sentimentos: Da Psicométrica à Psicopolítica. Comunicação E Sociedade, 39, 101–118.</w:t>
      </w:r>
    </w:p>
    <w:p w:rsidR="00000000" w:rsidDel="00000000" w:rsidP="00000000" w:rsidRDefault="00000000" w:rsidRPr="00000000" w14:paraId="000001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bookmarkStart w:colFirst="0" w:colLast="0" w:name="bookmark=id.x8gij7wtqu94" w:id="29"/>
      <w:bookmarkEnd w:id="29"/>
      <w:r w:rsidDel="00000000" w:rsidR="00000000" w:rsidRPr="00000000">
        <w:rPr>
          <w:rFonts w:ascii="Times New Roman" w:cs="Times New Roman" w:eastAsia="Times New Roman" w:hAnsi="Times New Roman"/>
          <w:rtl w:val="0"/>
        </w:rPr>
        <w:t xml:space="preserve">12] Joloudari, J. H., Hussain, S., Nematollahi, M. A. et. al. (2023). BERT-deep CNN: State of the art for sentiment analysis of COVID-19 tweets. Social Network Analysis and Mining, 13(1), 99.</w:t>
      </w:r>
    </w:p>
    <w:p w:rsidR="00000000" w:rsidDel="00000000" w:rsidP="00000000" w:rsidRDefault="00000000" w:rsidRPr="00000000" w14:paraId="000001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bookmarkStart w:colFirst="0" w:colLast="0" w:name="bookmark=id.9terlzfkftak" w:id="30"/>
      <w:bookmarkEnd w:id="30"/>
      <w:r w:rsidDel="00000000" w:rsidR="00000000" w:rsidRPr="00000000">
        <w:rPr>
          <w:rFonts w:ascii="Times New Roman" w:cs="Times New Roman" w:eastAsia="Times New Roman" w:hAnsi="Times New Roman"/>
          <w:rtl w:val="0"/>
        </w:rPr>
        <w:t xml:space="preserve">13] Olegário, D., Lima, J. S. de, &amp; Coelho, A. (2025). Os reflexos das redes sociais na participação cidadã e na formação da opinião pública: uma análise entre mobilização política e desinformação. Revista FT, ISSN 1678-0817. DOI: 10.69849/revistaft/fa10202506062150</w:t>
      </w:r>
    </w:p>
    <w:p w:rsidR="00000000" w:rsidDel="00000000" w:rsidP="00000000" w:rsidRDefault="00000000" w:rsidRPr="00000000" w14:paraId="000001F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Hua, Y. C., Denny, P., Wicker, J., &amp; Taskova, K. (2024). A systematic review of aspect-based sentiment analysis: domains, methods, and trends. Artificial Intelligence Review, 57(11), 296</w:t>
      </w:r>
    </w:p>
    <w:p w:rsidR="00000000" w:rsidDel="00000000" w:rsidP="00000000" w:rsidRDefault="00000000" w:rsidRPr="00000000" w14:paraId="000001F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Lyamouri-Bajja, N., Genneby, N., Markosyan, R., &amp; Ohana, Y. (2012). Understanding Conflict. In T–Kit No. 12 – Youth Transforming Conflict (pp. 45–96). Council of Europe Publishing.</w:t>
      </w:r>
    </w:p>
    <w:p w:rsidR="00000000" w:rsidDel="00000000" w:rsidP="00000000" w:rsidRDefault="00000000" w:rsidRPr="00000000" w14:paraId="000001F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Warke, O., Jose, J. M., Breitsohl, J., &amp; Wang, J. (2024). Capturing the spectrum of social media conflict: A novel multi-objective classification model. In Proceedings of the 14th International Conference on the Theory of Information Retrieval (ICTIR ’24) (pp. 215–225). ACM. https://doi.org/10.1145/3664190.3672510.</w:t>
      </w:r>
    </w:p>
    <w:p w:rsidR="00000000" w:rsidDel="00000000" w:rsidP="00000000" w:rsidRDefault="00000000" w:rsidRPr="00000000" w14:paraId="000001F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PANOPLY. Twitter Data Dictionary. 2021. Disponível em: https://panoply-documentation.</w:t>
        <w:br w:type="textWrapping"/>
        <w:t xml:space="preserve">document360.io/docs/data-dictionary-twitter. Acesso em: 21 abr. 2026</w:t>
      </w:r>
    </w:p>
    <w:p w:rsidR="00000000" w:rsidDel="00000000" w:rsidP="00000000" w:rsidRDefault="00000000" w:rsidRPr="00000000" w14:paraId="000001F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B">
      <w:pPr>
        <w:jc w:val="both"/>
        <w:rPr>
          <w:rFonts w:ascii="Times New Roman" w:cs="Times New Roman" w:eastAsia="Times New Roman" w:hAnsi="Times New Roman"/>
        </w:rPr>
      </w:pPr>
      <w:r w:rsidDel="00000000" w:rsidR="00000000" w:rsidRPr="00000000">
        <w:rPr>
          <w:rtl w:val="0"/>
        </w:rPr>
      </w:r>
    </w:p>
    <w:sectPr>
      <w:headerReference r:id="rId13"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3"/>
      <w:tblW w:w="8623.0" w:type="dxa"/>
      <w:jc w:val="left"/>
      <w:tblInd w:w="-21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684"/>
      <w:gridCol w:w="6939"/>
      <w:tblGridChange w:id="0">
        <w:tblGrid>
          <w:gridCol w:w="1684"/>
          <w:gridCol w:w="6939"/>
        </w:tblGrid>
      </w:tblGridChange>
    </w:tblGrid>
    <w:tr>
      <w:trPr>
        <w:cantSplit w:val="0"/>
        <w:tblHeader w:val="0"/>
      </w:trPr>
      <w:tc>
        <w:tcPr/>
        <w:p w:rsidR="00000000" w:rsidDel="00000000" w:rsidP="00000000" w:rsidRDefault="00000000" w:rsidRPr="00000000" w14:paraId="000001FD">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-6348</wp:posOffset>
                </wp:positionH>
                <wp:positionV relativeFrom="paragraph">
                  <wp:posOffset>179070</wp:posOffset>
                </wp:positionV>
                <wp:extent cx="932250" cy="720000"/>
                <wp:effectExtent b="0" l="0" r="0" t="0"/>
                <wp:wrapSquare wrapText="bothSides" distB="0" distT="0" distL="114300" distR="114300"/>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32250" cy="720000"/>
                        </a:xfrm>
                        <a:prstGeom prst="rect"/>
                        <a:ln/>
                      </pic:spPr>
                    </pic:pic>
                  </a:graphicData>
                </a:graphic>
              </wp:anchor>
            </w:drawing>
          </w:r>
        </w:p>
      </w:tc>
      <w:tc>
        <w:tcPr/>
        <w:p w:rsidR="00000000" w:rsidDel="00000000" w:rsidP="00000000" w:rsidRDefault="00000000" w:rsidRPr="00000000" w14:paraId="000001FE">
          <w:pPr>
            <w:pBdr>
              <w:top w:space="0" w:sz="0" w:val="nil"/>
              <w:left w:space="0" w:sz="0" w:val="nil"/>
              <w:bottom w:space="0" w:sz="0" w:val="nil"/>
              <w:right w:space="0" w:sz="0" w:val="nil"/>
              <w:between w:space="0" w:sz="0" w:val="nil"/>
            </w:pBdr>
            <w:tabs>
              <w:tab w:val="center" w:leader="none" w:pos="4252"/>
              <w:tab w:val="right" w:leader="none" w:pos="8504"/>
            </w:tabs>
            <w:rPr>
              <w:color w:val="000000"/>
              <w:sz w:val="28"/>
              <w:szCs w:val="28"/>
            </w:rPr>
          </w:pPr>
          <w:r w:rsidDel="00000000" w:rsidR="00000000" w:rsidRPr="00000000">
            <w:rPr>
              <w:color w:val="000000"/>
              <w:sz w:val="28"/>
              <w:szCs w:val="28"/>
              <w:rtl w:val="0"/>
            </w:rPr>
            <w:t xml:space="preserve">Fundação Universidade Federal do ABC</w:t>
          </w:r>
        </w:p>
        <w:p w:rsidR="00000000" w:rsidDel="00000000" w:rsidP="00000000" w:rsidRDefault="00000000" w:rsidRPr="00000000" w14:paraId="000001FF">
          <w:pPr>
            <w:pBdr>
              <w:top w:space="0" w:sz="0" w:val="nil"/>
              <w:left w:space="0" w:sz="0" w:val="nil"/>
              <w:bottom w:space="0" w:sz="0" w:val="nil"/>
              <w:right w:space="0" w:sz="0" w:val="nil"/>
              <w:between w:space="0" w:sz="0" w:val="nil"/>
            </w:pBdr>
            <w:tabs>
              <w:tab w:val="center" w:leader="none" w:pos="4252"/>
              <w:tab w:val="right" w:leader="none" w:pos="8504"/>
            </w:tabs>
            <w:rPr>
              <w:color w:val="000000"/>
              <w:sz w:val="28"/>
              <w:szCs w:val="28"/>
            </w:rPr>
          </w:pPr>
          <w:r w:rsidDel="00000000" w:rsidR="00000000" w:rsidRPr="00000000">
            <w:rPr>
              <w:color w:val="000000"/>
              <w:sz w:val="28"/>
              <w:szCs w:val="28"/>
              <w:rtl w:val="0"/>
            </w:rPr>
            <w:t xml:space="preserve">Pró reitoria de pesquisa</w:t>
          </w:r>
        </w:p>
        <w:p w:rsidR="00000000" w:rsidDel="00000000" w:rsidP="00000000" w:rsidRDefault="00000000" w:rsidRPr="00000000" w14:paraId="00000200">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color w:val="000000"/>
              <w:rtl w:val="0"/>
            </w:rPr>
            <w:t xml:space="preserve">Av. dos Estados, 5001, Santa Terezinha, Santo André/SP, CEP 09210-580</w:t>
          </w:r>
        </w:p>
        <w:p w:rsidR="00000000" w:rsidDel="00000000" w:rsidP="00000000" w:rsidRDefault="00000000" w:rsidRPr="00000000" w14:paraId="00000201">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color w:val="000000"/>
              <w:rtl w:val="0"/>
            </w:rPr>
            <w:t xml:space="preserve">Bloco L, 3ºAndar, Fone (11) 3356-7617</w:t>
          </w:r>
        </w:p>
        <w:p w:rsidR="00000000" w:rsidDel="00000000" w:rsidP="00000000" w:rsidRDefault="00000000" w:rsidRPr="00000000" w14:paraId="00000202">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color w:val="000000"/>
              <w:rtl w:val="0"/>
            </w:rPr>
            <w:t xml:space="preserve">iniciacao@ufabc.edu.br</w:t>
          </w:r>
        </w:p>
        <w:p w:rsidR="00000000" w:rsidDel="00000000" w:rsidP="00000000" w:rsidRDefault="00000000" w:rsidRPr="00000000" w14:paraId="00000203">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tc>
    </w:tr>
  </w:tbl>
  <w:p w:rsidR="00000000" w:rsidDel="00000000" w:rsidP="00000000" w:rsidRDefault="00000000" w:rsidRPr="00000000" w14:paraId="00000204">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80" w:before="36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Ttulo7">
    <w:name w:val="heading 7"/>
    <w:basedOn w:val="Normal"/>
    <w:next w:val="Normal"/>
    <w:link w:val="Ttulo7Char"/>
    <w:uiPriority w:val="9"/>
    <w:unhideWhenUsed w:val="1"/>
    <w:qFormat w:val="1"/>
    <w:rsid w:val="00117AF3"/>
    <w:pPr>
      <w:keepNext w:val="1"/>
      <w:keepLines w:val="1"/>
      <w:spacing w:after="0" w:before="40"/>
      <w:outlineLvl w:val="6"/>
    </w:pPr>
    <w:rPr>
      <w:rFonts w:ascii="Times New Roman" w:hAnsi="Times New Roman" w:cstheme="majorBidi" w:eastAsiaTheme="majorEastAsia"/>
      <w:b w:val="1"/>
      <w:iCs w:val="1"/>
      <w:color w:val="1f3763" w:themeColor="accent1" w:themeShade="00007F"/>
      <w:sz w:val="24"/>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Cabealho">
    <w:name w:val="header"/>
    <w:basedOn w:val="Normal"/>
    <w:link w:val="CabealhoChar"/>
    <w:uiPriority w:val="99"/>
    <w:unhideWhenUsed w:val="1"/>
    <w:rsid w:val="00EA59D8"/>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EA59D8"/>
  </w:style>
  <w:style w:type="paragraph" w:styleId="Rodap">
    <w:name w:val="footer"/>
    <w:basedOn w:val="Normal"/>
    <w:link w:val="RodapChar"/>
    <w:uiPriority w:val="99"/>
    <w:unhideWhenUsed w:val="1"/>
    <w:rsid w:val="00EA59D8"/>
    <w:pPr>
      <w:tabs>
        <w:tab w:val="center" w:pos="4252"/>
        <w:tab w:val="right" w:pos="8504"/>
      </w:tabs>
      <w:spacing w:after="0" w:line="240" w:lineRule="auto"/>
    </w:pPr>
  </w:style>
  <w:style w:type="character" w:styleId="RodapChar" w:customStyle="1">
    <w:name w:val="Rodapé Char"/>
    <w:basedOn w:val="Fontepargpadro"/>
    <w:link w:val="Rodap"/>
    <w:uiPriority w:val="99"/>
    <w:rsid w:val="00EA59D8"/>
  </w:style>
  <w:style w:type="paragraph" w:styleId="Textodebalo">
    <w:name w:val="Balloon Text"/>
    <w:basedOn w:val="Normal"/>
    <w:link w:val="TextodebaloChar"/>
    <w:uiPriority w:val="99"/>
    <w:semiHidden w:val="1"/>
    <w:unhideWhenUsed w:val="1"/>
    <w:rsid w:val="008622F9"/>
    <w:pPr>
      <w:spacing w:after="0" w:line="240" w:lineRule="auto"/>
    </w:pPr>
    <w:rPr>
      <w:rFonts w:ascii="Segoe UI" w:cs="Segoe UI" w:hAnsi="Segoe UI"/>
      <w:sz w:val="18"/>
      <w:szCs w:val="18"/>
    </w:rPr>
  </w:style>
  <w:style w:type="character" w:styleId="TextodebaloChar" w:customStyle="1">
    <w:name w:val="Texto de balão Char"/>
    <w:basedOn w:val="Fontepargpadro"/>
    <w:link w:val="Textodebalo"/>
    <w:uiPriority w:val="99"/>
    <w:semiHidden w:val="1"/>
    <w:rsid w:val="008622F9"/>
    <w:rPr>
      <w:rFonts w:ascii="Segoe UI" w:cs="Segoe UI" w:hAnsi="Segoe UI"/>
      <w:sz w:val="18"/>
      <w:szCs w:val="18"/>
    </w:rPr>
  </w:style>
  <w:style w:type="table" w:styleId="Tabelacomgrade">
    <w:name w:val="Table Grid"/>
    <w:basedOn w:val="Tabelanormal"/>
    <w:uiPriority w:val="39"/>
    <w:rsid w:val="00C323DB"/>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Ttulo1Char" w:customStyle="1">
    <w:name w:val="Título 1 Char"/>
    <w:basedOn w:val="Fontepargpadro"/>
    <w:link w:val="Ttulo1"/>
    <w:uiPriority w:val="9"/>
    <w:rsid w:val="00CB0DF9"/>
    <w:rPr>
      <w:rFonts w:asciiTheme="majorHAnsi" w:cstheme="majorBidi" w:eastAsiaTheme="majorEastAsia" w:hAnsiTheme="majorHAnsi"/>
      <w:color w:val="2f5496" w:themeColor="accent1" w:themeShade="0000BF"/>
      <w:sz w:val="32"/>
      <w:szCs w:val="32"/>
    </w:rPr>
  </w:style>
  <w:style w:type="paragraph" w:styleId="CabealhodoSumrio">
    <w:name w:val="TOC Heading"/>
    <w:basedOn w:val="Ttulo1"/>
    <w:next w:val="Normal"/>
    <w:uiPriority w:val="39"/>
    <w:unhideWhenUsed w:val="1"/>
    <w:qFormat w:val="1"/>
    <w:rsid w:val="00CB0DF9"/>
    <w:pPr>
      <w:outlineLvl w:val="9"/>
    </w:pPr>
  </w:style>
  <w:style w:type="paragraph" w:styleId="Sumrio1">
    <w:name w:val="toc 1"/>
    <w:basedOn w:val="Normal"/>
    <w:next w:val="Normal"/>
    <w:autoRedefine w:val="1"/>
    <w:uiPriority w:val="39"/>
    <w:unhideWhenUsed w:val="1"/>
    <w:rsid w:val="00497C76"/>
    <w:pPr>
      <w:spacing w:after="100"/>
    </w:pPr>
  </w:style>
  <w:style w:type="character" w:styleId="Hyperlink">
    <w:name w:val="Hyperlink"/>
    <w:basedOn w:val="Fontepargpadro"/>
    <w:uiPriority w:val="99"/>
    <w:unhideWhenUsed w:val="1"/>
    <w:rsid w:val="00497C76"/>
    <w:rPr>
      <w:color w:val="0563c1" w:themeColor="hyperlink"/>
      <w:u w:val="single"/>
    </w:rPr>
  </w:style>
  <w:style w:type="paragraph" w:styleId="PargrafodaLista">
    <w:name w:val="List Paragraph"/>
    <w:basedOn w:val="Normal"/>
    <w:uiPriority w:val="34"/>
    <w:qFormat w:val="1"/>
    <w:rsid w:val="00585C7A"/>
    <w:pPr>
      <w:ind w:left="720"/>
      <w:contextualSpacing w:val="1"/>
    </w:pPr>
  </w:style>
  <w:style w:type="character" w:styleId="MenoPendente1" w:customStyle="1">
    <w:name w:val="Menção Pendente1"/>
    <w:basedOn w:val="Fontepargpadro"/>
    <w:uiPriority w:val="99"/>
    <w:semiHidden w:val="1"/>
    <w:unhideWhenUsed w:val="1"/>
    <w:rsid w:val="00705251"/>
    <w:rPr>
      <w:color w:val="605e5c"/>
      <w:shd w:color="auto" w:fill="e1dfdd" w:val="clear"/>
    </w:rPr>
  </w:style>
  <w:style w:type="table" w:styleId="a"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elacomgrade1" w:customStyle="1">
    <w:name w:val="Tabela com grade1"/>
    <w:basedOn w:val="Tabelanormal"/>
    <w:next w:val="Tabelacomgrade"/>
    <w:uiPriority w:val="39"/>
    <w:rsid w:val="000B48C9"/>
    <w:pPr>
      <w:spacing w:after="0" w:line="240" w:lineRule="auto"/>
    </w:pPr>
    <w:rPr>
      <w:rFonts w:asciiTheme="minorHAnsi" w:cstheme="minorBidi" w:eastAsiaTheme="minorHAnsi" w:hAnsiTheme="minorHAnsi"/>
      <w:lang w:eastAsia="en-US"/>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Sumrio2">
    <w:name w:val="toc 2"/>
    <w:basedOn w:val="Normal"/>
    <w:next w:val="Normal"/>
    <w:autoRedefine w:val="1"/>
    <w:uiPriority w:val="39"/>
    <w:unhideWhenUsed w:val="1"/>
    <w:rsid w:val="00437102"/>
    <w:pPr>
      <w:spacing w:after="100"/>
      <w:ind w:left="220"/>
    </w:pPr>
    <w:rPr>
      <w:rFonts w:cs="Times New Roman" w:asciiTheme="minorHAnsi" w:eastAsiaTheme="minorEastAsia" w:hAnsiTheme="minorHAnsi"/>
    </w:rPr>
  </w:style>
  <w:style w:type="paragraph" w:styleId="Sumrio3">
    <w:name w:val="toc 3"/>
    <w:basedOn w:val="Normal"/>
    <w:next w:val="Normal"/>
    <w:autoRedefine w:val="1"/>
    <w:uiPriority w:val="39"/>
    <w:unhideWhenUsed w:val="1"/>
    <w:rsid w:val="00437102"/>
    <w:pPr>
      <w:spacing w:after="100"/>
      <w:ind w:left="440"/>
    </w:pPr>
    <w:rPr>
      <w:rFonts w:cs="Times New Roman" w:asciiTheme="minorHAnsi" w:eastAsiaTheme="minorEastAsia" w:hAnsiTheme="minorHAnsi"/>
    </w:rPr>
  </w:style>
  <w:style w:type="character" w:styleId="Ttulo7Char" w:customStyle="1">
    <w:name w:val="Título 7 Char"/>
    <w:basedOn w:val="Fontepargpadro"/>
    <w:link w:val="Ttulo7"/>
    <w:uiPriority w:val="9"/>
    <w:rsid w:val="00117AF3"/>
    <w:rPr>
      <w:rFonts w:ascii="Times New Roman" w:hAnsi="Times New Roman" w:cstheme="majorBidi" w:eastAsiaTheme="majorEastAsia"/>
      <w:b w:val="1"/>
      <w:iCs w:val="1"/>
      <w:color w:val="1f3763" w:themeColor="accent1" w:themeShade="00007F"/>
      <w:sz w:val="24"/>
    </w:rPr>
  </w:style>
  <w:style w:type="paragraph" w:styleId="Sumrio7">
    <w:name w:val="toc 7"/>
    <w:basedOn w:val="Normal"/>
    <w:next w:val="Normal"/>
    <w:autoRedefine w:val="1"/>
    <w:uiPriority w:val="39"/>
    <w:unhideWhenUsed w:val="1"/>
    <w:rsid w:val="00117AF3"/>
    <w:pPr>
      <w:spacing w:after="100"/>
      <w:ind w:left="1320"/>
    </w:pPr>
  </w:style>
  <w:style w:type="paragraph" w:styleId="Titulo2" w:customStyle="1">
    <w:name w:val="Titulo 2"/>
    <w:basedOn w:val="Ttulo2"/>
    <w:link w:val="Titulo2Char"/>
    <w:qFormat w:val="1"/>
    <w:rsid w:val="00BC76B8"/>
    <w:rPr>
      <w:rFonts w:ascii="Times New Roman" w:hAnsi="Times New Roman"/>
      <w:color w:val="000000" w:themeColor="text1"/>
      <w:sz w:val="24"/>
    </w:rPr>
  </w:style>
  <w:style w:type="character" w:styleId="Ttulo2Char" w:customStyle="1">
    <w:name w:val="Título 2 Char"/>
    <w:basedOn w:val="Fontepargpadro"/>
    <w:link w:val="Ttulo2"/>
    <w:rsid w:val="00117AF3"/>
    <w:rPr>
      <w:b w:val="1"/>
      <w:sz w:val="36"/>
      <w:szCs w:val="36"/>
    </w:rPr>
  </w:style>
  <w:style w:type="character" w:styleId="Titulo2Char" w:customStyle="1">
    <w:name w:val="Titulo 2 Char"/>
    <w:basedOn w:val="Ttulo2Char"/>
    <w:link w:val="Titulo2"/>
    <w:rsid w:val="00BC76B8"/>
    <w:rPr>
      <w:rFonts w:ascii="Times New Roman" w:hAnsi="Times New Roman"/>
      <w:b w:val="1"/>
      <w:color w:val="000000" w:themeColor="text1"/>
      <w:sz w:val="24"/>
      <w:szCs w:val="3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earesocial.com/uk/blog/2023/04/the-global-state-of-digital-in-april-2023" TargetMode="External"/><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hyperlink" Target="https://doi.org/10.3390/encyclopedia404010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8USL3YT0J0nAd56M3uPw6XAvpA==">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2025-02-11T14:44:00Z</dcterms:created>
  <dc:creator>kenjinose filho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df61b304270e4874ad4e8b88c156ee473615b2803a278612d2224b866d9b8869</vt:lpwstr>
  </property>
</Properties>
</file>