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Controle de anotações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5.8"/>
        <w:gridCol w:w="1805.8"/>
        <w:gridCol w:w="1805.8"/>
        <w:gridCol w:w="1805.8"/>
        <w:gridCol w:w="1805.8"/>
        <w:tblGridChange w:id="0">
          <w:tblGrid>
            <w:gridCol w:w="1805.8"/>
            <w:gridCol w:w="1805.8"/>
            <w:gridCol w:w="1805.8"/>
            <w:gridCol w:w="1805.8"/>
            <w:gridCol w:w="1805.8"/>
          </w:tblGrid>
        </w:tblGridChange>
      </w:tblGrid>
      <w:tr>
        <w:trPr>
          <w:cantSplit w:val="0"/>
          <w:trHeight w:val="1235.954481275318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Dataset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Estrutura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N° Anotações</w:t>
            </w:r>
          </w:p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N° Anotações</w:t>
            </w:r>
          </w:p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Victor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N° Anotações</w:t>
            </w:r>
          </w:p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homologadas (discordâncias resolvidas)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Aborto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Reply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Quotes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Genéricos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Mandetta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Reply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Quotes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Genéricos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Cloroquina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Reply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Quotes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Genéricos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Contas Suspensas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Reply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Quotes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Genéricos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</w:tbl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Obs: 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18/05/26 - cloroquina replys 50 ao 100 possui muitos casos de conflitos (vale o registro)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22/05/26 - aborto genéricos 50 ao 100 possui muitos casos de conflitos (vale o registro)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