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128.999999999998" w:type="dxa"/>
        <w:jc w:val="left"/>
        <w:tblInd w:w="-152.0" w:type="dxa"/>
        <w:tblLayout w:type="fixed"/>
        <w:tblLook w:val="0400"/>
      </w:tblPr>
      <w:tblGrid>
        <w:gridCol w:w="1886"/>
        <w:gridCol w:w="2367"/>
        <w:gridCol w:w="1843"/>
        <w:gridCol w:w="7033"/>
        <w:tblGridChange w:id="0">
          <w:tblGrid>
            <w:gridCol w:w="1886"/>
            <w:gridCol w:w="2367"/>
            <w:gridCol w:w="1843"/>
            <w:gridCol w:w="7033"/>
          </w:tblGrid>
        </w:tblGridChange>
      </w:tblGrid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Course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debd5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Outcome Evaluation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 hours (300 minutes)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 blocks as follows: .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(1 hour 45 minutes) 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(1 hour 30 minutes) 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(1 hour 45 minutes) 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Content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learning so far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Outcome evaluation and its questions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Contribution Analysis  </w:t>
            </w:r>
          </w:p>
        </w:tc>
      </w:tr>
      <w:tr>
        <w:trPr>
          <w:cantSplit w:val="0"/>
          <w:trHeight w:val="1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Learning objectives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8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 what is outcome evaluation and its different evaluation questions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8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 what contribution analysis and its core steps are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8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 what a contribution story is, how to validate it and how it can be a tool for decision making 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Key concepts of the session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Attribution, Contribution, Outcome evaluation</w:t>
            </w:r>
          </w:p>
        </w:tc>
      </w:tr>
      <w:tr>
        <w:trPr>
          <w:cantSplit w:val="0"/>
          <w:trHeight w:val="311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Supplementary material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ind w:left="709" w:hanging="709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Bourgeois, I., &amp; Buetti, D. (2024).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rtl w:val="0"/>
              </w:rPr>
              <w:t xml:space="preserve">Using contribution analysis to assess evaluation capacity outcomes in community organizations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rtl w:val="0"/>
              </w:rPr>
              <w:t xml:space="preserve">Evaluation and Program Planning, 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, 102347.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https://doi.org/10.1016/j.evalprogplan.2024.102347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Jamieson, J., Lutze, J., Palermo, C., Gibson, S. et al. (2025).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rtl w:val="0"/>
              </w:rPr>
              <w:t xml:space="preserve">An evaluation of programmatic assessment across health professions education using contribution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 Advances in Health Sciences Education.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https://doi.org/10.1007/s10459-025-10444-5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left="709" w:hanging="709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Koleros, A., &amp; Mayne, J. (2019).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rtl w:val="0"/>
              </w:rPr>
              <w:t xml:space="preserve">Using Actor-Based Theories of Change to Conduct Robust Evaluation in Complex Settings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rtl w:val="0"/>
              </w:rPr>
              <w:t xml:space="preserve">Canadian Journal of Program Evaluation, 33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(3), 292-315.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https://doi.org/10.3138/cjpe.52946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ind w:left="709" w:hanging="709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Mayne, J. (2012). Contribution analysis: Coming of age?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rtl w:val="0"/>
              </w:rPr>
              <w:t xml:space="preserve">Evaluation, 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(3), 270-280. https://doi.org/10.1177/1356389012451663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ind w:left="709" w:hanging="709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Wimbush, E., Montague, S., &amp; Mulherin, T. (2012).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rtl w:val="0"/>
              </w:rPr>
              <w:t xml:space="preserve">Applications of contribution analysis to outcome planning and impact evaluation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rtl w:val="0"/>
              </w:rPr>
              <w:t xml:space="preserve">Evaluation, 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(3), 310-329.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https://doi.org/10.1177/1356389012452052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left="709" w:hanging="709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Opening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 minutes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 Recap with students what they’ve seen so far and connect the main concepts of the last two sessions to start talking about the outcome of interventions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Presentation slides 1-7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Outcome evaluation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Outcome evaluation questions and Contribution Analysis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65 minutes - CLASS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 minutes - EX 1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-Core ideas: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Outcome evaluation explores how an intervention relates to the changes that take place in its context.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While experimental designs measure effects through comparison, many interventions unfold amid multiple interacting influences.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outcomes therefore involves considering how different factors, actors, and conditions interact to shape results.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Theory-based approaches help make sense of these dynamics by using a Theory of Change to trace causal processes and test assumptions.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Within this family, Contribution Analysis provides a structured way to examine how, why, and under what circumstances an intervention is connected to the outcomes observed</w:t>
            </w:r>
          </w:p>
          <w:tbl>
            <w:tblPr>
              <w:tblStyle w:val="Table2"/>
              <w:tblW w:w="6883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801"/>
              <w:gridCol w:w="4924"/>
              <w:gridCol w:w="1158"/>
              <w:tblGridChange w:id="0">
                <w:tblGrid>
                  <w:gridCol w:w="801"/>
                  <w:gridCol w:w="4924"/>
                  <w:gridCol w:w="115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Slide range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Main content focus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Estimated time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7–13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Outcome evaluation, attribution, limits of RCTs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15-20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14–17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Theory-based approaches and context–causation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25–30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Exercise 1-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19-25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Concept of contribution and introduction to Contribution Analysis Six steps and transitions to the Contribution Story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10-15 min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Presentation slides 7-18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Contribution Story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50 minutes- CLASS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 minutes- EX2 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Core ideas: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Contribution Story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links the Theory of Change to observed results through systematic evidence gathering and analysis.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Evaluators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map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along causal links,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triangulate sources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and assess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strength and coherence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of evidence.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LaboEval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demonstrates how Contribution Analysis identifies which program elements influenced change and under what conditions.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 strong contribution story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logical, transparent, context-aware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and acknowledges rival explanations.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Because complex theories cannot test every link, evaluators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focus on a few key causal pathways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that are most relevant or uncertain.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Exercise 2 (40 min)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invites participants to select 2–3 critical links, craft evaluation questions, and discuss how narrowing focus improves learning and feasibility.</w:t>
            </w:r>
          </w:p>
          <w:tbl>
            <w:tblPr>
              <w:tblStyle w:val="Table3"/>
              <w:tblW w:w="6883.000000000001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79"/>
              <w:gridCol w:w="4618"/>
              <w:gridCol w:w="1286"/>
              <w:tblGridChange w:id="0">
                <w:tblGrid>
                  <w:gridCol w:w="979"/>
                  <w:gridCol w:w="4618"/>
                  <w:gridCol w:w="128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Slide range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Main content focus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Estimated time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26 - 28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Transition to the Contribution Story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5–10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29 - 32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Building the Contribution Story and Focusing contribution analysis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10–15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33 - 39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LaboEval case and characteristics of strong story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20-25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Exercise 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40 min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Presentation, miró board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Validate with targeted evidence and building a learning tool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70 minutes- CLASS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 minutes- EX 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Core ideas: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Step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targets weak or uncertain links in the Contribution Story with focused evidence.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Evaluators test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rival explanations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confirm causal logic, and refine the story’s credibility.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Use four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evidence types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: account, trace, pattern, and sequence.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Australian universities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illustrates how targeted data strengthened or adjusted causal links.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Step 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refines the story through iteration and stakeholder validation, turning it into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tool for decision-making and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The process ends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Contribution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as a practical and reflective approach to continuous improvement.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03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057"/>
              <w:gridCol w:w="3591"/>
              <w:gridCol w:w="1390"/>
              <w:tblGridChange w:id="0">
                <w:tblGrid>
                  <w:gridCol w:w="1057"/>
                  <w:gridCol w:w="3591"/>
                  <w:gridCol w:w="139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Slide range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Main content focus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Estimated time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40 - 44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5 – Validate with targeted evidence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15–20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Exercise 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30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46 - 48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Example Australian case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15 -20 min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49 - 55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Step 6 – Strengthen and use as learning tool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25 - 30 min</w:t>
                  </w:r>
                </w:p>
              </w:tc>
            </w:tr>
          </w:tbl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Presentation and miró board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Closing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 minutes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 Closing survey: questions about course content, teacher, topics of interest, etc. 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- Time: 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minutes 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*At least 5 minutes should be allowed for students to respond to the survey.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Presentation, closing survey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701" w:top="1701" w:left="1411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6577763</wp:posOffset>
          </wp:positionH>
          <wp:positionV relativeFrom="paragraph">
            <wp:posOffset>-196199</wp:posOffset>
          </wp:positionV>
          <wp:extent cx="1675130" cy="711835"/>
          <wp:effectExtent b="0" l="0" r="0" t="0"/>
          <wp:wrapSquare wrapText="bothSides" distB="0" distT="0" distL="114300" distR="114300"/>
          <wp:docPr descr="Logotipo&#10;&#10;Descripción generada automáticamente" id="1759276985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5130" cy="7118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7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E029CE"/>
    <w:pPr>
      <w:ind w:left="720"/>
      <w:contextualSpacing w:val="1"/>
    </w:pPr>
  </w:style>
  <w:style w:type="character" w:styleId="ng-star-inserted" w:customStyle="1">
    <w:name w:val="ng-star-inserted"/>
    <w:basedOn w:val="Fuentedeprrafopredeter"/>
    <w:rsid w:val="00401461"/>
  </w:style>
  <w:style w:type="character" w:styleId="Hipervnculo">
    <w:name w:val="Hyperlink"/>
    <w:basedOn w:val="Fuentedeprrafopredeter"/>
    <w:uiPriority w:val="99"/>
    <w:unhideWhenUsed w:val="1"/>
    <w:rsid w:val="005E73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E73C0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9F082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9F082C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9F082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9F082C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F08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00644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0644A"/>
  </w:style>
  <w:style w:type="paragraph" w:styleId="Piedepgina">
    <w:name w:val="footer"/>
    <w:basedOn w:val="Normal"/>
    <w:link w:val="PiedepginaCar"/>
    <w:uiPriority w:val="99"/>
    <w:unhideWhenUsed w:val="1"/>
    <w:rsid w:val="0000644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0644A"/>
  </w:style>
  <w:style w:type="character" w:styleId="Textoennegrita">
    <w:name w:val="Strong"/>
    <w:basedOn w:val="Fuentedeprrafopredeter"/>
    <w:uiPriority w:val="22"/>
    <w:qFormat w:val="1"/>
    <w:rsid w:val="00B64EC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i.org/10.1177/1356389012452052" TargetMode="External"/><Relationship Id="rId9" Type="http://schemas.openxmlformats.org/officeDocument/2006/relationships/hyperlink" Target="https://doi.org/10.3138/cjpe.5294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016/j.evalprogplan.2024.102347" TargetMode="External"/><Relationship Id="rId8" Type="http://schemas.openxmlformats.org/officeDocument/2006/relationships/hyperlink" Target="https://doi.org/10.1007/s10459-025-10444-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tnu3IQqgsZMElueIZj1b+3Ubxg==">CgMxLjA4AHIhMXFmSlRZeDlSQ3dvMnk3ckxyaXhPajNNN3lFT3IwMml1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2025-10-07T15:03:00Z</dcterms:created>
  <dc:creator>Monse Agl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0x0101005CDACA3C2CCC724F88EC0F18A8AAB7D800908BDD1E641F964F851270CBD7933D25</vt:lpwstr>
  </property>
  <property fmtid="{D5CDD505-2E9C-101B-9397-08002B2CF9AE}" pid="3" name="Order">
    <vt:r8>79900.0</vt:r8>
  </property>
  <property fmtid="{D5CDD505-2E9C-101B-9397-08002B2CF9AE}" pid="4" name="SharedWithUser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TaxKeyword">
    <vt:lpwstr>3054;#docId:B94EBC19920A63793337931D998CD14C|23b12c33-210a-4421-aeaf-acb4278fac6d</vt:lpwstr>
  </property>
  <property fmtid="{D5CDD505-2E9C-101B-9397-08002B2CF9AE}" pid="11" name="Series Corporate IDB">
    <vt:lpwstr>315;#ORF-02 Auditing, Evaluation and Inspection - General Matters|4c22fd3a-d97d-4a9e-9a7e-9396dcdfbcd8</vt:lpwstr>
  </property>
  <property fmtid="{D5CDD505-2E9C-101B-9397-08002B2CF9AE}" pid="12" name="Country">
    <vt:lpwstr/>
  </property>
  <property fmtid="{D5CDD505-2E9C-101B-9397-08002B2CF9AE}" pid="13" name="Document Type IDB">
    <vt:lpwstr/>
  </property>
  <property fmtid="{D5CDD505-2E9C-101B-9397-08002B2CF9AE}" pid="14" name="Sector IDB">
    <vt:lpwstr/>
  </property>
  <property fmtid="{D5CDD505-2E9C-101B-9397-08002B2CF9AE}" pid="15" name="Function Corporate IDB">
    <vt:lpwstr>120;#5 Organization and Functions|4701d7f9-8df6-4219-aeac-8d4b644c65a0</vt:lpwstr>
  </property>
  <property fmtid="{D5CDD505-2E9C-101B-9397-08002B2CF9AE}" pid="16" name="_dlc_DocIdItemGuid">
    <vt:lpwstr>56c5f172-2991-4d53-a4c2-d488ec7b4be3</vt:lpwstr>
  </property>
  <property fmtid="{D5CDD505-2E9C-101B-9397-08002B2CF9AE}" pid="17" name="MediaServiceImageTags">
    <vt:lpwstr/>
  </property>
  <property fmtid="{D5CDD505-2E9C-101B-9397-08002B2CF9AE}" pid="18" name="lcf76f155ced4ddcb4097134ff3c332f">
    <vt:lpwstr/>
  </property>
  <property fmtid="{D5CDD505-2E9C-101B-9397-08002B2CF9AE}" pid="19" name="Function_x0020_Corporate_x0020_IDB">
    <vt:lpwstr>120;#5 Organization and Functions|4701d7f9-8df6-4219-aeac-8d4b644c65a0</vt:lpwstr>
  </property>
  <property fmtid="{D5CDD505-2E9C-101B-9397-08002B2CF9AE}" pid="20" name="Document_x0020_Type_x0020_IDB">
    <vt:lpwstr/>
  </property>
  <property fmtid="{D5CDD505-2E9C-101B-9397-08002B2CF9AE}" pid="21" name="Sector_x0020_IDB">
    <vt:lpwstr/>
  </property>
  <property fmtid="{D5CDD505-2E9C-101B-9397-08002B2CF9AE}" pid="22" name="Series_x0020_Corporate_x0020_IDB">
    <vt:lpwstr>315;#ORF-02 Auditing, Evaluation and Inspection - General Matters|4c22fd3a-d97d-4a9e-9a7e-9396dcdfbcd8</vt:lpwstr>
  </property>
</Properties>
</file>