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1F3864"/>
          <w:sz w:val="28"/>
          <w:szCs w:val="28"/>
        </w:rPr>
        <w:t xml:space="preserve">EVALAC I — CASE STUDY MATERIALS</w:t>
      </w:r>
    </w:p>
    <w:p>
      <w:pPr>
        <w:spacing w:after="200"/>
        <w:jc w:val="center"/>
      </w:pPr>
      <w:r>
        <w:rPr>
          <w:color w:val="2E75B6"/>
          <w:sz w:val="26"/>
          <w:szCs w:val="26"/>
        </w:rPr>
        <w:t xml:space="preserve">EXECUTIVE SUMMARY</w:t>
      </w:r>
    </w:p>
    <w:p>
      <w:pPr>
        <w:jc w:val="center"/>
      </w:pPr>
      <w:r>
        <w:rPr>
          <w:i/>
          <w:iCs/>
          <w:color w:val="666666"/>
        </w:rPr>
        <w:t xml:space="preserve">Prepared for: Inter-American Development Bank</w:t>
      </w:r>
    </w:p>
    <w:p>
      <w:pPr>
        <w:spacing w:after="200"/>
        <w:jc w:val="center"/>
      </w:pPr>
      <w:r>
        <w:rPr>
          <w:i/>
          <w:iCs/>
          <w:color w:val="666666"/>
        </w:rPr>
        <w:t xml:space="preserve">Office of Evaluation and Oversight (OVE)</w:t>
      </w:r>
    </w:p>
    <w:p>
      <w:pPr>
        <w:spacing w:after="600"/>
        <w:jc w:val="center"/>
      </w:pPr>
      <w:r>
        <w:rPr>
          <w:i/>
          <w:iCs/>
          <w:color w:val="666666"/>
        </w:rPr>
        <w:t xml:space="preserve">February 2026</w:t>
      </w:r>
    </w:p>
    <w:p>
      <w:pPr>
        <w:pStyle w:val="Heading1"/>
      </w:pPr>
      <w:r>
        <w:t xml:space="preserve">OVERVIEW</w:t>
      </w:r>
    </w:p>
    <w:p>
      <w:r>
        <w:t xml:space="preserve">This deliverable provides evidence-informed materials for EVALAC I, the Inter-American Development Bank course on theory-based evaluation and contribution analysis. The materials are organized around a single transversal case study on Integrated Early Childhood Development (Creciendo Juntos), designed to anchor all five course sessions.</w:t>
      </w:r>
    </w:p>
    <w:p/>
    <w:p>
      <w:pPr>
        <w:pStyle w:val="Heading1"/>
      </w:pPr>
      <w:r>
        <w:t xml:space="preserve">DELIVERABLE COMPONENTS</w:t>
      </w:r>
    </w:p>
    <w:p>
      <w:r>
        <w:t xml:space="preserve">The materials are organized in two folders:</w:t>
      </w:r>
    </w:p>
    <w:p/>
    <w:p>
      <w:pPr>
        <w:pStyle w:val="ListParagraph"/>
        <w:numPr>
          <w:ilvl w:val="0"/>
          <w:numId w:val="2"/>
        </w:numPr>
        <w:spacing w:after="60"/>
      </w:pPr>
      <w:r>
        <w:t xml:space="preserve">General Documents (6 files) — Executive summary, file guide, reading order, methodological note, literature mapping, and complete references</w:t>
      </w:r>
    </w:p>
    <w:p>
      <w:pPr>
        <w:pStyle w:val="ListParagraph"/>
        <w:numPr>
          <w:ilvl w:val="0"/>
          <w:numId w:val="2"/>
        </w:numPr>
        <w:spacing w:after="60"/>
      </w:pPr>
      <w:r>
        <w:t xml:space="preserve">Case Study (8 files) — Program narrative, Theory of Change, Monitoring System, and five session exercise sets</w:t>
      </w:r>
    </w:p>
    <w:p/>
    <w:p>
      <w:pPr>
        <w:pStyle w:val="Heading1"/>
      </w:pPr>
      <w:r>
        <w:t xml:space="preserve">EVIDENCE FOUNDATION</w:t>
      </w:r>
    </w:p>
    <w:p>
      <w:r>
        <w:t xml:space="preserve">The case study is grounded in peer-reviewed references from top-tier journals (Science, The Lancet, BMJ) and institutions (World Bank, OECD, IDB), including multiple RCTs from LAC contexts. A critical gap in implementation research is identified and used pedagogically to motivate contribution analysis.</w:t>
      </w:r>
    </w:p>
    <w:p/>
    <w:p>
      <w:pPr>
        <w:pStyle w:val="Heading1"/>
      </w:pPr>
      <w:r>
        <w:t xml:space="preserve">SESSION STRUCTURE</w:t>
      </w:r>
    </w:p>
    <w:p>
      <w:r>
        <w:t xml:space="preserve">The five sessions follow a single program through the complete evaluation cycle:</w:t>
      </w:r>
    </w:p>
    <w:p>
      <w:pPr>
        <w:pStyle w:val="ListParagraph"/>
        <w:numPr>
          <w:ilvl w:val="0"/>
          <w:numId w:val="2"/>
        </w:numPr>
        <w:spacing w:after="60"/>
      </w:pPr>
      <w:r>
        <w:t xml:space="preserve">Session 1: Theory of Change Construction — actors, behaviors, outcomes, assumptions</w:t>
      </w:r>
    </w:p>
    <w:p>
      <w:pPr>
        <w:pStyle w:val="ListParagraph"/>
        <w:numPr>
          <w:ilvl w:val="0"/>
          <w:numId w:val="2"/>
        </w:numPr>
        <w:spacing w:after="60"/>
      </w:pPr>
      <w:r>
        <w:t xml:space="preserve">Session 2: Results Matrix and Indicators — SMART indicators, data sources, targets</w:t>
      </w:r>
    </w:p>
    <w:p>
      <w:pPr>
        <w:pStyle w:val="ListParagraph"/>
        <w:numPr>
          <w:ilvl w:val="0"/>
          <w:numId w:val="2"/>
        </w:numPr>
        <w:spacing w:after="60"/>
      </w:pPr>
      <w:r>
        <w:t xml:space="preserve">Session 3: Qualitative Methods — mechanism testing, heterogeneity, unexpected findings</w:t>
      </w:r>
    </w:p>
    <w:p>
      <w:pPr>
        <w:pStyle w:val="ListParagraph"/>
        <w:numPr>
          <w:ilvl w:val="0"/>
          <w:numId w:val="2"/>
        </w:numPr>
        <w:spacing w:after="60"/>
      </w:pPr>
      <w:r>
        <w:t xml:space="preserve">Session 4: Quantitative Methods — dose-response, mediation, timeline consistency</w:t>
      </w:r>
    </w:p>
    <w:p>
      <w:pPr>
        <w:pStyle w:val="ListParagraph"/>
        <w:numPr>
          <w:ilvl w:val="0"/>
          <w:numId w:val="2"/>
        </w:numPr>
        <w:spacing w:after="60"/>
      </w:pPr>
      <w:r>
        <w:t xml:space="preserve">Session 5: Contribution Analysis Synthesis — evidence assembly, alternatives, communication</w:t>
      </w:r>
    </w:p>
    <w:p>
      <w:r>
        <w:t xml:space="preserve">Each exercise includes participant instructions, narrative references, suggested time and format, answer keys, and teaching points.</w:t>
      </w:r>
    </w:p>
    <w:p/>
    <w:p>
      <w:pPr>
        <w:pStyle w:val="Heading1"/>
      </w:pPr>
      <w:r>
        <w:t xml:space="preserve">READING GUIDANCE</w:t>
      </w:r>
    </w:p>
    <w:p>
      <w:r>
        <w:t xml:space="preserve">A Reading Order document is included in the General Documents folder. For reviewers, we suggest reading the narrative first, then the exercise sets in session order (1 through 5), and finally the Theory of Change and Monitoring System as detailed reference material for instructors.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Prepared for IDB/OVE —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EVALAC I — Executive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2026-02-27T21:36:18.977Z</dcterms:created>
  <dcterms:modified xsi:type="dcterms:W3CDTF">2026-02-27T21:36:18.978Z</dcterms:modified>
</cp:coreProperties>
</file>

<file path=docProps/custom.xml><?xml version="1.0" encoding="utf-8"?>
<Properties xmlns="http://schemas.openxmlformats.org/officeDocument/2006/custom-properties" xmlns:vt="http://schemas.openxmlformats.org/officeDocument/2006/docPropsVTypes"/>
</file>