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28"/>
          <w:szCs w:val="28"/>
        </w:rPr>
        <w:t xml:space="preserve">EVALAC I — CASE STUDY MATERIALS</w:t>
      </w:r>
    </w:p>
    <w:p>
      <w:pPr>
        <w:spacing w:after="200"/>
        <w:jc w:val="center"/>
      </w:pPr>
      <w:r>
        <w:rPr>
          <w:color w:val="2E75B6"/>
          <w:sz w:val="26"/>
          <w:szCs w:val="26"/>
        </w:rPr>
        <w:t xml:space="preserve">COMPLETE FILE GUIDE</w:t>
      </w:r>
    </w:p>
    <w:p>
      <w:pPr>
        <w:jc w:val="center"/>
      </w:pPr>
      <w:r>
        <w:rPr>
          <w:i/>
          <w:iCs/>
          <w:color w:val="666666"/>
        </w:rPr>
        <w:t xml:space="preserve">Prepared for: Inter-American Development Bank</w:t>
      </w:r>
    </w:p>
    <w:p>
      <w:pPr>
        <w:spacing w:after="200"/>
        <w:jc w:val="center"/>
      </w:pPr>
      <w:r>
        <w:rPr>
          <w:i/>
          <w:iCs/>
          <w:color w:val="666666"/>
        </w:rPr>
        <w:t xml:space="preserve">Office of Evaluation and Oversight (OVE)</w:t>
      </w:r>
    </w:p>
    <w:p>
      <w:pPr>
        <w:spacing w:after="600"/>
        <w:jc w:val="center"/>
      </w:pPr>
      <w:r>
        <w:rPr>
          <w:i/>
          <w:iCs/>
          <w:color w:val="666666"/>
        </w:rPr>
        <w:t xml:space="preserve">February 2026</w:t>
      </w:r>
    </w:p>
    <w:p>
      <w:pPr>
        <w:pStyle w:val="Heading1"/>
      </w:pPr>
      <w:r>
        <w:t xml:space="preserve">OVERVIEW</w:t>
      </w:r>
    </w:p>
    <w:p>
      <w:r>
        <w:t xml:space="preserve">This folder contains materials for EVALAC I training on theory-based evaluation, organized around a single transversal case study in Early Childhood Development. The case study (Creciendo Juntos) is fictional, designed for pedagogical purposes, and grounded in real evidence from LAC programs.</w:t>
      </w:r>
    </w:p>
    <w:p/>
    <w:p>
      <w:pPr>
        <w:pStyle w:val="Heading1"/>
      </w:pPr>
      <w:r>
        <w:t xml:space="preserve">FOLDER STRUCTURE</w:t>
      </w:r>
    </w:p>
    <w:p>
      <w:pPr>
        <w:pStyle w:val="Heading2"/>
      </w:pPr>
      <w:r>
        <w:t xml:space="preserve">General Documents/ (6 files)</w:t>
      </w:r>
    </w:p>
    <w:p>
      <w:pPr>
        <w:pStyle w:val="ListParagraph"/>
        <w:numPr>
          <w:ilvl w:val="0"/>
          <w:numId w:val="2"/>
        </w:numPr>
        <w:spacing w:after="60"/>
      </w:pPr>
      <w:r>
        <w:t xml:space="preserve">00_EXECUTIVE_SUMMARY_BID — Overview of materials and purpose</w:t>
      </w:r>
    </w:p>
    <w:p>
      <w:pPr>
        <w:pStyle w:val="ListParagraph"/>
        <w:numPr>
          <w:ilvl w:val="0"/>
          <w:numId w:val="2"/>
        </w:numPr>
        <w:spacing w:after="60"/>
      </w:pPr>
      <w:r>
        <w:t xml:space="preserve">00_FILE_GUIDE_OVE — This document</w:t>
      </w:r>
    </w:p>
    <w:p>
      <w:pPr>
        <w:pStyle w:val="ListParagraph"/>
        <w:numPr>
          <w:ilvl w:val="0"/>
          <w:numId w:val="2"/>
        </w:numPr>
        <w:spacing w:after="60"/>
      </w:pPr>
      <w:r>
        <w:t xml:space="preserve">00_READING_ORDER — Suggested reading sequence for reviewers and instructors</w:t>
      </w:r>
    </w:p>
    <w:p>
      <w:pPr>
        <w:pStyle w:val="ListParagraph"/>
        <w:numPr>
          <w:ilvl w:val="0"/>
          <w:numId w:val="2"/>
        </w:numPr>
        <w:spacing w:after="60"/>
      </w:pPr>
      <w:r>
        <w:t xml:space="preserve">00_Methodological_Note — Evidence selection criteria and mapping methodology</w:t>
      </w:r>
    </w:p>
    <w:p>
      <w:pPr>
        <w:pStyle w:val="ListParagraph"/>
        <w:numPr>
          <w:ilvl w:val="0"/>
          <w:numId w:val="2"/>
        </w:numPr>
        <w:spacing w:after="60"/>
      </w:pPr>
      <w:r>
        <w:t xml:space="preserve">01_ECD_Literature_Mapping — references mapped by evaluation type, with gap analysis</w:t>
      </w:r>
    </w:p>
    <w:p>
      <w:pPr>
        <w:pStyle w:val="ListParagraph"/>
        <w:numPr>
          <w:ilvl w:val="0"/>
          <w:numId w:val="2"/>
        </w:numPr>
        <w:spacing w:after="60"/>
      </w:pPr>
      <w:r>
        <w:t xml:space="preserve">02_Complete_References — All references organized alphabetically</w:t>
      </w:r>
    </w:p>
    <w:p/>
    <w:p>
      <w:pPr>
        <w:pStyle w:val="Heading2"/>
      </w:pPr>
      <w:r>
        <w:t xml:space="preserve">Case Study/ (8 files)</w:t>
      </w:r>
    </w:p>
    <w:p>
      <w:pPr>
        <w:pStyle w:val="ListParagraph"/>
        <w:numPr>
          <w:ilvl w:val="0"/>
          <w:numId w:val="2"/>
        </w:numPr>
        <w:spacing w:after="60"/>
      </w:pPr>
      <w:r>
        <w:t xml:space="preserve">03_CaseStudy_Narrative — Complete program story: political context, family perspectives, program design, implementation</w:t>
      </w:r>
    </w:p>
    <w:p>
      <w:pPr>
        <w:pStyle w:val="ListParagraph"/>
        <w:numPr>
          <w:ilvl w:val="0"/>
          <w:numId w:val="2"/>
        </w:numPr>
        <w:spacing w:after="60"/>
      </w:pPr>
      <w:r>
        <w:t xml:space="preserve">04_CaseStudy_Theory_of_Change — Full results chain with assumptions at each level</w:t>
      </w:r>
    </w:p>
    <w:p>
      <w:pPr>
        <w:pStyle w:val="ListParagraph"/>
        <w:numPr>
          <w:ilvl w:val="0"/>
          <w:numId w:val="2"/>
        </w:numPr>
        <w:spacing w:after="60"/>
      </w:pPr>
      <w:r>
        <w:t xml:space="preserve">05_CaseStudy_Monitoring_System — 3-tier monitoring framework with 40+ indicators</w:t>
      </w:r>
    </w:p>
    <w:p>
      <w:pPr>
        <w:pStyle w:val="ListParagraph"/>
        <w:numPr>
          <w:ilvl w:val="0"/>
          <w:numId w:val="2"/>
        </w:numPr>
        <w:spacing w:after="60"/>
      </w:pPr>
      <w:r>
        <w:t xml:space="preserve">06_CaseStudy_CheatSheet_Session1 — Theory of Change Construction</w:t>
      </w:r>
    </w:p>
    <w:p>
      <w:pPr>
        <w:pStyle w:val="ListParagraph"/>
        <w:numPr>
          <w:ilvl w:val="0"/>
          <w:numId w:val="2"/>
        </w:numPr>
        <w:spacing w:after="60"/>
      </w:pPr>
      <w:r>
        <w:t xml:space="preserve">07_CaseStudy_CheatSheet_Session2 — Results Matrix and Indicators</w:t>
      </w:r>
    </w:p>
    <w:p>
      <w:pPr>
        <w:pStyle w:val="ListParagraph"/>
        <w:numPr>
          <w:ilvl w:val="0"/>
          <w:numId w:val="2"/>
        </w:numPr>
        <w:spacing w:after="60"/>
      </w:pPr>
      <w:r>
        <w:t xml:space="preserve">08_CaseStudy_CheatSheet_Session3 — Qualitative Methods</w:t>
      </w:r>
    </w:p>
    <w:p>
      <w:pPr>
        <w:pStyle w:val="ListParagraph"/>
        <w:numPr>
          <w:ilvl w:val="0"/>
          <w:numId w:val="2"/>
        </w:numPr>
        <w:spacing w:after="60"/>
      </w:pPr>
      <w:r>
        <w:t xml:space="preserve">09_CaseStudy_CheatSheet_Session4 — Quantitative Methods</w:t>
      </w:r>
    </w:p>
    <w:p>
      <w:pPr>
        <w:pStyle w:val="ListParagraph"/>
        <w:numPr>
          <w:ilvl w:val="0"/>
          <w:numId w:val="2"/>
        </w:numPr>
        <w:spacing w:after="60"/>
      </w:pPr>
      <w:r>
        <w:t xml:space="preserve">10_CaseStudy_CheatSheet_Session5 — Contribution Analysis Synthesis</w:t>
      </w:r>
    </w:p>
    <w:p/>
    <w:p>
      <w:pPr>
        <w:pStyle w:val="Heading1"/>
      </w:pPr>
      <w:r>
        <w:t xml:space="preserve">HOW THE SESSIONS FIT TOGETHER</w:t>
      </w:r>
    </w:p>
    <w:p>
      <w:r>
        <w:t xml:space="preserve">The five session cheat sheets follow one program through the complete evaluation cycle:</w:t>
      </w:r>
    </w:p>
    <w:p>
      <w:pPr>
        <w:pStyle w:val="ListParagraph"/>
        <w:numPr>
          <w:ilvl w:val="0"/>
          <w:numId w:val="2"/>
        </w:numPr>
        <w:spacing w:after="60"/>
      </w:pPr>
      <w:r>
        <w:t xml:space="preserve">Session 1 builds the Theory of Change: actors, behaviors, outcomes, assumptions</w:t>
      </w:r>
    </w:p>
    <w:p>
      <w:pPr>
        <w:pStyle w:val="ListParagraph"/>
        <w:numPr>
          <w:ilvl w:val="0"/>
          <w:numId w:val="2"/>
        </w:numPr>
        <w:spacing w:after="60"/>
      </w:pPr>
      <w:r>
        <w:t xml:space="preserve">Session 2 translates the ToC into SMART indicators with targets and data sources</w:t>
      </w:r>
    </w:p>
    <w:p>
      <w:pPr>
        <w:pStyle w:val="ListParagraph"/>
        <w:numPr>
          <w:ilvl w:val="0"/>
          <w:numId w:val="2"/>
        </w:numPr>
        <w:spacing w:after="60"/>
      </w:pPr>
      <w:r>
        <w:t xml:space="preserve">Session 3 designs qualitative investigations to understand mechanisms</w:t>
      </w:r>
    </w:p>
    <w:p>
      <w:pPr>
        <w:pStyle w:val="ListParagraph"/>
        <w:numPr>
          <w:ilvl w:val="0"/>
          <w:numId w:val="2"/>
        </w:numPr>
        <w:spacing w:after="60"/>
      </w:pPr>
      <w:r>
        <w:t xml:space="preserve">Session 4 uses quantitative analysis to test ToC relationships</w:t>
      </w:r>
    </w:p>
    <w:p>
      <w:pPr>
        <w:pStyle w:val="ListParagraph"/>
        <w:numPr>
          <w:ilvl w:val="0"/>
          <w:numId w:val="2"/>
        </w:numPr>
        <w:spacing w:after="60"/>
      </w:pPr>
      <w:r>
        <w:t xml:space="preserve">Session 5 synthesizes all evidence into a contribution claim</w:t>
      </w:r>
    </w:p>
    <w:p>
      <w:r>
        <w:t xml:space="preserve">Each exercise includes: instructions (📋), narrative references (📖), suggested time and format, answer keys, and teaching points (💡).</w:t>
      </w:r>
    </w:p>
    <w:p/>
    <w:p>
      <w:pPr>
        <w:pStyle w:val="Heading1"/>
      </w:pPr>
      <w:r>
        <w:t xml:space="preserve">FOR INSTRUCTORS</w:t>
      </w:r>
    </w:p>
    <w:p>
      <w:r>
        <w:t xml:space="preserve">The Theory of Change and Monitoring System are detailed reference documents for session preparation. The literature mapping provides evidence context. We suggest reading the narrative first, then the cheat sheets in order (Sessions 1–5), and consulting the ToC and Monitoring System as needed.</w:t>
      </w:r>
    </w:p>
    <w:p/>
    <w:p>
      <w:pPr>
        <w:pStyle w:val="Heading1"/>
      </w:pPr>
      <w:r>
        <w:t xml:space="preserve">KEY FEATURES</w:t>
      </w:r>
    </w:p>
    <w:p>
      <w:pPr>
        <w:pStyle w:val="ListParagraph"/>
        <w:numPr>
          <w:ilvl w:val="0"/>
          <w:numId w:val="2"/>
        </w:numPr>
        <w:spacing w:after="60"/>
      </w:pPr>
      <w:r>
        <w:t xml:space="preserve">IDB/World Bank standards: results framework, SMART indicators, IDB M&amp;E practices</w:t>
      </w:r>
    </w:p>
    <w:p>
      <w:pPr>
        <w:pStyle w:val="ListParagraph"/>
        <w:numPr>
          <w:ilvl w:val="0"/>
          <w:numId w:val="2"/>
        </w:numPr>
        <w:spacing w:after="60"/>
      </w:pPr>
      <w:r>
        <w:t xml:space="preserve">LAC regional focus: evidence from Colombia, Brazil, Jamaica, Chile, Pakistan</w:t>
      </w:r>
    </w:p>
    <w:p>
      <w:pPr>
        <w:pStyle w:val="ListParagraph"/>
        <w:numPr>
          <w:ilvl w:val="0"/>
          <w:numId w:val="2"/>
        </w:numPr>
        <w:spacing w:after="60"/>
      </w:pPr>
      <w:r>
        <w:t xml:space="preserve">Contribution analysis emphasis: teaches building credible claims when RCTs are infeasible</w:t>
      </w:r>
    </w:p>
    <w:p>
      <w:pPr>
        <w:pStyle w:val="ListParagraph"/>
        <w:numPr>
          <w:ilvl w:val="0"/>
          <w:numId w:val="2"/>
        </w:numPr>
        <w:spacing w:after="60"/>
      </w:pPr>
      <w:r>
        <w:t xml:space="preserve">Implementation gap as pedagogy: the real evidence gap motivates the analytical approach</w:t>
      </w:r>
    </w:p>
    <w:p>
      <w:pPr>
        <w:pStyle w:val="ListParagraph"/>
        <w:numPr>
          <w:ilvl w:val="0"/>
          <w:numId w:val="2"/>
        </w:numPr>
        <w:spacing w:after="60"/>
      </w:pPr>
      <w:r>
        <w:t xml:space="preserve">Practical realism: political pressures, budget constraints, institutional complexity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Prepared for IDB/OVE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EVALAC I — File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2026-02-27T20:45:56.254Z</dcterms:created>
  <dcterms:modified xsi:type="dcterms:W3CDTF">2026-02-27T20:45:56.255Z</dcterms:modified>
</cp:coreProperties>
</file>

<file path=docProps/custom.xml><?xml version="1.0" encoding="utf-8"?>
<Properties xmlns="http://schemas.openxmlformats.org/officeDocument/2006/custom-properties" xmlns:vt="http://schemas.openxmlformats.org/officeDocument/2006/docPropsVTypes"/>
</file>