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28"/>
          <w:szCs w:val="28"/>
        </w:rPr>
        <w:t xml:space="preserve">EVALAC I — CASE STUDY MATERIALS</w:t>
      </w:r>
    </w:p>
    <w:p>
      <w:pPr>
        <w:spacing w:after="400"/>
        <w:jc w:val="center"/>
      </w:pPr>
      <w:r>
        <w:rPr>
          <w:color w:val="2E75B6"/>
          <w:sz w:val="26"/>
          <w:szCs w:val="26"/>
        </w:rPr>
        <w:t xml:space="preserve">READING ORDER AND NAVIGATION GUIDE</w:t>
      </w:r>
    </w:p>
    <w:p/>
    <w:p>
      <w:pPr>
        <w:pStyle w:val="Heading1"/>
      </w:pPr>
      <w:r>
        <w:t xml:space="preserve">FOR REVIEWERS AND INSTRUCTORS</w:t>
      </w:r>
    </w:p>
    <w:p>
      <w:r>
        <w:t xml:space="preserve">We suggest the following reading order to understand the full structure:</w:t>
      </w:r>
    </w:p>
    <w:p/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1: </w:t>
      </w:r>
      <w:r>
        <w:t xml:space="preserve">Case Study Narrative (File 03) — the complete story of Creciendo Juntos. Read this first to understand the program, its context, and the evaluation challenge.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2: </w:t>
      </w:r>
      <w:r>
        <w:t xml:space="preserve">CheatSheet Session 1 (File 06) — Theory of Change Construction. This is where participants begin working with the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3: </w:t>
      </w:r>
      <w:r>
        <w:t xml:space="preserve">CheatSheet Session 2 (File 07) — Results Matrix and Indicators.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4: </w:t>
      </w:r>
      <w:r>
        <w:t xml:space="preserve">CheatSheet Session 3 (File 08) — Qualitative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5: </w:t>
      </w:r>
      <w:r>
        <w:t xml:space="preserve">CheatSheet Session 4 (File 09) — Quantitative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6: </w:t>
      </w:r>
      <w:r>
        <w:t xml:space="preserve">CheatSheet Session 5 (File 10) — Contribution Analysis Synthesis (capstone).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7: </w:t>
      </w:r>
      <w:r>
        <w:t xml:space="preserve">Theory of Change (File 04) and Monitoring System (File 05) — detailed reference documents. These provide the technical depth behind the exercises.</w:t>
      </w:r>
    </w:p>
    <w:p/>
    <w:p>
      <w:pPr>
        <w:pStyle w:val="Heading1"/>
      </w:pPr>
      <w:r>
        <w:t xml:space="preserve">FOR PARTICIPANTS</w:t>
      </w:r>
    </w:p>
    <w:p>
      <w:r>
        <w:t xml:space="preserve">During the course, participants will receive exercise sets for each session (Sessions 1–5), with references to the relevant narrative sections. The narrative does NOT need to be read cover-to-cover before the course — it is consulted in parallel, as indicated in each exercise.</w:t>
      </w:r>
    </w:p>
    <w:p/>
    <w:p>
      <w:pPr>
        <w:pStyle w:val="Heading1"/>
      </w:pPr>
      <w:r>
        <w:t xml:space="preserve">HOW THE MATERIALS FIT TOGETHER</w:t>
      </w:r>
    </w:p>
    <w:p>
      <w:r>
        <w:t xml:space="preserve">The case study follows a single program (Creciendo Juntos) through the entire evaluation cycle:</w:t>
      </w:r>
    </w:p>
    <w:p/>
    <w:p>
      <w:pPr>
        <w:pStyle w:val="ListParagraph"/>
        <w:numPr>
          <w:ilvl w:val="0"/>
          <w:numId w:val="3"/>
        </w:numPr>
        <w:spacing w:after="60"/>
      </w:pPr>
      <w:r>
        <w:t xml:space="preserve">Session 1 builds the Theory of Change: who does the program reach, what behaviors change, what outcomes follow?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Session 2 translates the ToC into measurable indicators with targets and data sources.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Session 3 uses qualitative methods to understand HOW and WHY mechanisms work (or fail).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Session 4 uses quantitative analysis to test ToC relationships statistically.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Session 5 synthesizes everything into a contribution claim and communicates to decision-makers.</w:t>
      </w:r>
    </w:p>
    <w:p/>
    <w:p>
      <w:r>
        <w:t xml:space="preserve">Each session builds on the previous one. The evidence assembled in Sessions 2–4 is used in Session 5’s synthesis.</w:t>
      </w:r>
    </w:p>
    <w:p/>
    <w:p>
      <w:pPr>
        <w:pStyle w:val="Heading1"/>
      </w:pPr>
      <w:r>
        <w:t xml:space="preserve">FOLDER STRUCTURE</w:t>
      </w:r>
    </w:p>
    <w:p>
      <w:pPr>
        <w:spacing w:after="120"/>
      </w:pPr>
      <w:r>
        <w:rPr>
          <w:b/>
          <w:bCs/>
        </w:rPr>
        <w:t xml:space="preserve">General Documents/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00_EXECUTIVE_SUMMARY_BID.docx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00_FILE_GUIDE_OVE.docx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00_Methodological_Note.docx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00_READING_ORDER.docx (this document)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01_ECD_Literature_Mapping.docx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03_Complete_References.docx</w:t>
      </w:r>
    </w:p>
    <w:p/>
    <w:p>
      <w:pPr>
        <w:spacing w:after="120"/>
      </w:pPr>
      <w:r>
        <w:rPr>
          <w:b/>
          <w:bCs/>
        </w:rPr>
        <w:t xml:space="preserve">Case Study/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03_CaseStudy_Narrative.docx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04_CaseStudy_Theory_of_Change.docx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05_CaseStudy_Monitoring_System.docx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06_CaseStudy_CheatSheet_Session1.docx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07_CaseStudy_CheatSheet_Session2.docx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08_CaseStudy_CheatSheet_Session3.docx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09_CaseStudy_CheatSheet_Session4.docx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10_CaseStudy_CheatSheet_Session5.docx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99999"/>
        <w:sz w:val="16"/>
        <w:szCs w:val="16"/>
      </w:rPr>
      <w:t xml:space="preserve">Prepared for Inter-American Development Bank —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color w:val="999999"/>
        <w:sz w:val="16"/>
        <w:szCs w:val="16"/>
      </w:rPr>
      <w:t xml:space="preserve">EVALAC I — Reading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2026-02-27T20:37:36.728Z</dcterms:created>
  <dcterms:modified xsi:type="dcterms:W3CDTF">2026-02-27T20:37:36.728Z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