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EVALAC I — EVIDENCE FOUNDATION</w:t>
        <w:br/>
        <w:br/>
      </w:r>
      <w:r>
        <w:rPr>
          <w:b/>
          <w:sz w:val="40"/>
        </w:rPr>
        <w:t>EVIDENCE LANDSCAPE:</w:t>
        <w:br/>
        <w:t>EARLY CHILDHOOD DEVELOPMENT</w:t>
      </w:r>
    </w:p>
    <w:p>
      <w:r>
        <w:br w:type="page"/>
      </w:r>
    </w:p>
    <w:p>
      <w:pPr>
        <w:pStyle w:val="Title"/>
      </w:pPr>
      <w:r>
        <w:rPr>
          <w:sz w:val="44"/>
        </w:rPr>
        <w:t>EARLY CHILDHOOD DEVELOPMENT: EVIDENCE MAPPING</w:t>
      </w:r>
    </w:p>
    <w:p>
      <w:r>
        <w:t>This section maps references supporting the case study, categorized by evaluation type. The mapping reveals abundant impact evidence from rigorous trials, but critical gaps in implementation and process research that have pedagogical implications for teaching contribution analysis.</w:t>
      </w:r>
    </w:p>
    <w:p>
      <w:pPr>
        <w:pStyle w:val="Heading1"/>
      </w:pPr>
      <w:r>
        <w:rPr>
          <w:sz w:val="36"/>
        </w:rPr>
        <w:t>EVIDENCE CATEGORIZATION FRAMEWORK</w:t>
      </w:r>
    </w:p>
    <w:p>
      <w:r>
        <w:t>References are organized into six evaluation types to identify evidence distribution and gaps:</w:t>
      </w:r>
    </w:p>
    <w:p>
      <w:pPr>
        <w:pStyle w:val="ListBullet"/>
      </w:pPr>
      <w:r>
        <w:t>IMPACT EVALUATIONS: Rigorous counterfactual designs (RCTs, quasi-experimental)</w:t>
      </w:r>
    </w:p>
    <w:p>
      <w:pPr>
        <w:pStyle w:val="ListBullet"/>
      </w:pPr>
      <w:r>
        <w:t>SYSTEMATIC REVIEWS &amp; META-ANALYSES: Syntheses of multiple studies</w:t>
      </w:r>
    </w:p>
    <w:p>
      <w:pPr>
        <w:pStyle w:val="ListBullet"/>
      </w:pPr>
      <w:r>
        <w:t>THEORETICAL FRAMEWORKS: Conceptual models explaining mechanisms</w:t>
      </w:r>
    </w:p>
    <w:p>
      <w:pPr>
        <w:pStyle w:val="ListBullet"/>
      </w:pPr>
      <w:r>
        <w:t>IMPLEMENTATION/PROCESS STUDIES: Research on how programs function in practice</w:t>
      </w:r>
    </w:p>
    <w:p>
      <w:pPr>
        <w:pStyle w:val="ListBullet"/>
      </w:pPr>
      <w:r>
        <w:t>OUTCOME EVALUATIONS: Non-experimental tracking over time</w:t>
      </w:r>
    </w:p>
    <w:p>
      <w:pPr>
        <w:pStyle w:val="ListBullet"/>
      </w:pPr>
      <w:r>
        <w:t>LAC-SPECIFIC EVIDENCE: Studies conducted in Latin American contexts</w:t>
      </w:r>
    </w:p>
    <w:p>
      <w:r>
        <w:t>This categorization is NOT a hierarchy - all evaluation types contribute valuable evidence. The purpose is to identify WHERE we have abundant evidence and WHERE critical gaps exist.</w:t>
      </w:r>
    </w:p>
    <w:p>
      <w:r>
        <w:br w:type="page"/>
      </w:r>
    </w:p>
    <w:p>
      <w:pPr>
        <w:pStyle w:val="Heading1"/>
      </w:pPr>
      <w:r>
        <w:rPr>
          <w:sz w:val="36"/>
        </w:rPr>
        <w:t>1. IMPACT EVALUATIONS (5 RCTs)</w:t>
      </w:r>
    </w:p>
    <w:p>
      <w:r>
        <w:t>EVIDENCE AVAILABILITY: Multiple rigorous trials across diverse contexts (Jamaica, Colombia, Pakistan, Brazil)</w:t>
      </w:r>
    </w:p>
    <w:p>
      <w:r>
        <w:t>COVERAGE GAP: Limited trials in Central America specifically; most evidence from South America, South Asia, Caribbean</w:t>
      </w:r>
    </w:p>
    <w:p>
      <w:pPr>
        <w:pStyle w:val="Heading2"/>
      </w:pPr>
      <w:r>
        <w:rPr>
          <w:sz w:val="30"/>
        </w:rPr>
        <w:t>1.1 Gertler et al. (2014) - Jamaica 20-Year Follow-up</w:t>
      </w:r>
    </w:p>
    <w:p>
      <w:r>
        <w:t>CITATION: Gertler, P., Heckman, J., Pinto, R., Zanolini, A., Vermeersch, C., Walker, S., Chang, S. M., &amp; Grantham-McGregor, S. (2014). Labor market returns to an early childhood stimulation intervention in Jamaica. Science, 344(6187), 998-1001.</w:t>
      </w:r>
    </w:p>
    <w:p>
      <w:r>
        <w:t>DESIGN: Randomized controlled trial with 20-year follow-up, N=129 stunted children in Kingston, Jamaica</w:t>
      </w:r>
    </w:p>
    <w:p>
      <w:r>
        <w:t>INTERVENTION: Weekly home visits by community health workers delivering psychosocial stimulation curriculum for 2 years</w:t>
      </w:r>
    </w:p>
    <w:p>
      <w:r>
        <w:t>KEY FINDINGS:</w:t>
      </w:r>
    </w:p>
    <w:p>
      <w:pPr>
        <w:pStyle w:val="ListBullet"/>
      </w:pPr>
      <w:r>
        <w:t>Treatment group had 25% higher earnings at age 22 compared to control</w:t>
      </w:r>
    </w:p>
    <w:p>
      <w:pPr>
        <w:pStyle w:val="ListBullet"/>
      </w:pPr>
      <w:r>
        <w:t>Effects persisted into adulthood across multiple domains: education, employment, earnings, migration</w:t>
      </w:r>
    </w:p>
    <w:p>
      <w:pPr>
        <w:pStyle w:val="ListBullet"/>
      </w:pPr>
      <w:r>
        <w:t>Demonstrates long-term causal pathway from early stimulation to labor market outcomes</w:t>
      </w:r>
    </w:p>
    <w:p>
      <w:r>
        <w:t>CONTRIBUTION TO ECD CASE STUDY:</w:t>
      </w:r>
    </w:p>
    <w:p>
      <w:pPr>
        <w:pStyle w:val="ListBullet"/>
      </w:pPr>
      <w:r>
        <w:t>Establishes that developmental gains CAN persist 20+ years</w:t>
      </w:r>
    </w:p>
    <w:p>
      <w:pPr>
        <w:pStyle w:val="ListBullet"/>
      </w:pPr>
      <w:r>
        <w:t>Provides benchmark for long-term impact expectations</w:t>
      </w:r>
    </w:p>
    <w:p>
      <w:pPr>
        <w:pStyle w:val="ListBullet"/>
      </w:pPr>
      <w:r>
        <w:t>Supports ToC assumption that improved parenting leads to sustained outcomes</w:t>
      </w:r>
    </w:p>
    <w:p>
      <w:r>
        <w:t>EVALUATION TYPE: Impact evaluation (RCT with long-term follow-up)</w:t>
      </w:r>
    </w:p>
    <w:p>
      <w:pPr>
        <w:pStyle w:val="Heading2"/>
      </w:pPr>
      <w:r>
        <w:rPr>
          <w:sz w:val="30"/>
        </w:rPr>
        <w:t>1.2 Attanasio et al. (2014) - Colombia Scalability</w:t>
      </w:r>
    </w:p>
    <w:p>
      <w:r>
        <w:t>CITATION: Attanasio, O. P., Fernández, C., Fitzsimons, E. O., Grantham-McGregor, S. M., Meghir, C., &amp; Rubio-Codina, M. (2014). Using the infrastructure of a conditional cash transfer program to deliver a scalable integrated early child development program in Colombia: Cluster randomized controlled trial. BMJ, 349, g5785.</w:t>
      </w:r>
    </w:p>
    <w:p>
      <w:r>
        <w:t>DESIGN: Cluster randomized controlled trial, N=1,460 children across 96 municipalities</w:t>
      </w:r>
    </w:p>
    <w:p>
      <w:r>
        <w:t>INTERVENTION: Parenting program integrated into existing Familias en Acción CCT; 18 home visits + 18 group sessions over 18 months</w:t>
      </w:r>
    </w:p>
    <w:p>
      <w:r>
        <w:t>KEY FINDINGS:</w:t>
      </w:r>
    </w:p>
    <w:p>
      <w:pPr>
        <w:pStyle w:val="ListBullet"/>
      </w:pPr>
      <w:r>
        <w:t>Cognitive development: 0.26 SD (95% CI: 0.12 to 0.40)</w:t>
      </w:r>
    </w:p>
    <w:p>
      <w:pPr>
        <w:pStyle w:val="ListBullet"/>
      </w:pPr>
      <w:r>
        <w:t>Receptive language: 0.22 SD (95% CI: 0.08 to 0.35)</w:t>
      </w:r>
    </w:p>
    <w:p>
      <w:pPr>
        <w:pStyle w:val="ListBullet"/>
      </w:pPr>
      <w:r>
        <w:t>Demonstrates programs can be delivered at scale through existing infrastructure</w:t>
      </w:r>
    </w:p>
    <w:p>
      <w:r>
        <w:t>CONTRIBUTION TO ECD CASE STUDY:</w:t>
      </w:r>
    </w:p>
    <w:p>
      <w:pPr>
        <w:pStyle w:val="ListBullet"/>
      </w:pPr>
      <w:r>
        <w:t>Proves scalability - moving from research setting to real-world implementation</w:t>
      </w:r>
    </w:p>
    <w:p>
      <w:pPr>
        <w:pStyle w:val="ListBullet"/>
      </w:pPr>
      <w:r>
        <w:t>Shows integration with existing systems is feasible</w:t>
      </w:r>
    </w:p>
    <w:p>
      <w:pPr>
        <w:pStyle w:val="ListBullet"/>
      </w:pPr>
      <w:r>
        <w:t>Provides realistic effect size expectations</w:t>
      </w:r>
    </w:p>
    <w:p>
      <w:pPr>
        <w:pStyle w:val="ListBullet"/>
      </w:pPr>
      <w:r>
        <w:t>Directly informs the case study program design</w:t>
      </w:r>
    </w:p>
    <w:p>
      <w:r>
        <w:t>EVALUATION TYPE: Impact evaluation (cluster RCT)</w:t>
      </w:r>
    </w:p>
    <w:p>
      <w:pPr>
        <w:pStyle w:val="Heading2"/>
      </w:pPr>
      <w:r>
        <w:rPr>
          <w:sz w:val="30"/>
        </w:rPr>
        <w:t>1.3 Andrew et al. (2018) - Colombia 2-Year Follow-up</w:t>
      </w:r>
    </w:p>
    <w:p>
      <w:r>
        <w:t>CITATION: Andrew, A., Attanasio, O., Fitzsimons, E., Grantham-McGregor, S., Meghir, C., &amp; Rubio-Codina, M. (2018). Impacts 2 years after a scalable early childhood development intervention to increase psychosocial stimulation in the home: A follow-up of a cluster randomised controlled trial in Colombia. PLoS Medicine, 15(4), e1002556.</w:t>
      </w:r>
    </w:p>
    <w:p>
      <w:r>
        <w:t>DESIGN: 2-year follow-up of Colombia RCT, N=1,287 children reassessed</w:t>
      </w:r>
    </w:p>
    <w:p>
      <w:r>
        <w:t>KEY FINDINGS:</w:t>
      </w:r>
    </w:p>
    <w:p>
      <w:pPr>
        <w:pStyle w:val="ListBullet"/>
      </w:pPr>
      <w:r>
        <w:t>Effects sustained at 24 months: Cognitive 0.26 SD, Receptive language 0.23 SD, Expressive language 0.22 SD</w:t>
      </w:r>
    </w:p>
    <w:p>
      <w:pPr>
        <w:pStyle w:val="ListBullet"/>
      </w:pPr>
      <w:r>
        <w:t>No fade-out observed after program ended</w:t>
      </w:r>
    </w:p>
    <w:p>
      <w:r>
        <w:t>CONTRIBUTION TO ECD CASE STUDY:</w:t>
      </w:r>
    </w:p>
    <w:p>
      <w:pPr>
        <w:pStyle w:val="ListBullet"/>
      </w:pPr>
      <w:r>
        <w:t>Confirms persistence beyond program completion</w:t>
      </w:r>
    </w:p>
    <w:p>
      <w:pPr>
        <w:pStyle w:val="ListBullet"/>
      </w:pPr>
      <w:r>
        <w:t>Validates ToC assumption that behavior changes become habitual</w:t>
      </w:r>
    </w:p>
    <w:p>
      <w:r>
        <w:t>EVALUATION TYPE: Impact evaluation (follow-up)</w:t>
      </w:r>
    </w:p>
    <w:p>
      <w:pPr>
        <w:pStyle w:val="Heading2"/>
      </w:pPr>
      <w:r>
        <w:rPr>
          <w:sz w:val="30"/>
        </w:rPr>
        <w:t>1.4 Yousafzai et al. (2014) - Pakistan Mechanisms</w:t>
      </w:r>
    </w:p>
    <w:p>
      <w:r>
        <w:t>CITATION: Yousafzai, A. K., Rasheed, M. A., Rizvi, A., Armstrong, R., &amp; Bhutta, Z. A. (2014). Effect of integrated responsive stimulation and nutrition interventions in the Lady Health Worker programme in Pakistan on child development, growth, and health outcomes: A cluster-randomised factorial effectiveness trial. The Lancet, 384(9950), 1282-1293.</w:t>
      </w:r>
    </w:p>
    <w:p>
      <w:r>
        <w:t>DESIGN: 2×2 factorial cluster RCT, N=1,489 children in rural Pakistan</w:t>
      </w:r>
    </w:p>
    <w:p>
      <w:r>
        <w:t>INTERVENTION ARMS: Control, Nutrition only, Stimulation only, Nutrition + Stimulation combined</w:t>
      </w:r>
    </w:p>
    <w:p>
      <w:r>
        <w:t>KEY FINDINGS:</w:t>
      </w:r>
    </w:p>
    <w:p>
      <w:pPr>
        <w:pStyle w:val="ListBullet"/>
      </w:pPr>
      <w:r>
        <w:t>Stimulation alone improved development: 0.48 SD</w:t>
      </w:r>
    </w:p>
    <w:p>
      <w:pPr>
        <w:pStyle w:val="ListBullet"/>
      </w:pPr>
      <w:r>
        <w:t>Nutrition alone improved growth but NOT development</w:t>
      </w:r>
    </w:p>
    <w:p>
      <w:pPr>
        <w:pStyle w:val="ListBullet"/>
      </w:pPr>
      <w:r>
        <w:t>Combined intervention best for both outcomes</w:t>
      </w:r>
    </w:p>
    <w:p>
      <w:pPr>
        <w:pStyle w:val="ListBullet"/>
      </w:pPr>
      <w:r>
        <w:t>Factorial design proves stimulation and nutrition work through different pathways</w:t>
      </w:r>
    </w:p>
    <w:p>
      <w:r>
        <w:t>CONTRIBUTION TO ECD CASE STUDY:</w:t>
      </w:r>
    </w:p>
    <w:p>
      <w:pPr>
        <w:pStyle w:val="ListBullet"/>
      </w:pPr>
      <w:r>
        <w:t>Tests mechanisms directly</w:t>
      </w:r>
    </w:p>
    <w:p>
      <w:pPr>
        <w:pStyle w:val="ListBullet"/>
      </w:pPr>
      <w:r>
        <w:t>Supports integrated approach in the case study (parenting + nutrition components)</w:t>
      </w:r>
    </w:p>
    <w:p>
      <w:pPr>
        <w:pStyle w:val="ListBullet"/>
      </w:pPr>
      <w:r>
        <w:t>Validates theoretical separation of pathways in ToC</w:t>
      </w:r>
    </w:p>
    <w:p>
      <w:r>
        <w:t>EVALUATION TYPE: Impact evaluation (factorial RCT - mechanism testing)</w:t>
      </w:r>
    </w:p>
    <w:p>
      <w:pPr>
        <w:pStyle w:val="Heading2"/>
      </w:pPr>
      <w:r>
        <w:rPr>
          <w:sz w:val="30"/>
        </w:rPr>
        <w:t>1.5 Costa (2022) - Brazil PIM</w:t>
      </w:r>
    </w:p>
    <w:p>
      <w:r>
        <w:t>CITATION: Costa, G. W. (2022). Home Visiting, Child Development and Parenting: Experimental Evidence from the Primeira Infância Melhor Program. Doctoral thesis, Fundação Getulio Vargas - Escola de Economia de São Paulo, Brazil.</w:t>
      </w:r>
    </w:p>
    <w:p>
      <w:r>
        <w:t>DESIGN: Randomized controlled trial of Primeira Infância Melhor (PIM), Rio Grande do Sul, Brazil</w:t>
      </w:r>
    </w:p>
    <w:p>
      <w:r>
        <w:t>INTERVENTION: Weekly home visits by trained community visitors; structured curriculum promoting child development</w:t>
      </w:r>
    </w:p>
    <w:p>
      <w:r>
        <w:t>CONTEXT: Regular government implementation (not research-optimized)</w:t>
      </w:r>
    </w:p>
    <w:p>
      <w:r>
        <w:t>KEY FINDINGS:</w:t>
      </w:r>
    </w:p>
    <w:p>
      <w:pPr>
        <w:pStyle w:val="ListBullet"/>
      </w:pPr>
      <w:r>
        <w:t>Positive effects on motor skills</w:t>
      </w:r>
    </w:p>
    <w:p>
      <w:pPr>
        <w:pStyle w:val="ListBullet"/>
      </w:pPr>
      <w:r>
        <w:t>Improvements in parenting practices and family interactions</w:t>
      </w:r>
    </w:p>
    <w:p>
      <w:pPr>
        <w:pStyle w:val="ListBullet"/>
      </w:pPr>
      <w:r>
        <w:t>LARGER effects for children with lower-educated caregivers (equity finding)</w:t>
      </w:r>
    </w:p>
    <w:p>
      <w:pPr>
        <w:pStyle w:val="ListBullet"/>
      </w:pPr>
      <w:r>
        <w:t>Effects observed under regular implementation conditions</w:t>
      </w:r>
    </w:p>
    <w:p>
      <w:r>
        <w:t>CONTRIBUTION TO ECD CASE STUDY:</w:t>
      </w:r>
    </w:p>
    <w:p>
      <w:pPr>
        <w:pStyle w:val="ListBullet"/>
      </w:pPr>
      <w:r>
        <w:t>First RCT evidence from PIM - one of four inspirations for the ECD case study</w:t>
      </w:r>
    </w:p>
    <w:p>
      <w:pPr>
        <w:pStyle w:val="ListBullet"/>
      </w:pPr>
      <w:r>
        <w:t>Brazilian LAC context</w:t>
      </w:r>
    </w:p>
    <w:p>
      <w:pPr>
        <w:pStyle w:val="ListBullet"/>
      </w:pPr>
      <w:r>
        <w:t>Heterogeneity finding supports equity focus</w:t>
      </w:r>
    </w:p>
    <w:p>
      <w:pPr>
        <w:pStyle w:val="ListBullet"/>
      </w:pPr>
      <w:r>
        <w:t>Realistic implementation evidence</w:t>
      </w:r>
    </w:p>
    <w:p>
      <w:r>
        <w:t>EVALUATION TYPE: Impact evaluation (RCT)</w:t>
      </w:r>
    </w:p>
    <w:p>
      <w:r>
        <w:br w:type="page"/>
      </w:r>
    </w:p>
    <w:p>
      <w:pPr>
        <w:pStyle w:val="Heading1"/>
      </w:pPr>
      <w:r>
        <w:rPr>
          <w:sz w:val="36"/>
        </w:rPr>
        <w:t>2. SYSTEMATIC REVIEWS &amp; META-ANALYSES (4)</w:t>
      </w:r>
    </w:p>
    <w:p>
      <w:r>
        <w:t>EVIDENCE AVAILABILITY: Multiple high-quality syntheses covering 100+ studies</w:t>
      </w:r>
    </w:p>
    <w:p>
      <w:r>
        <w:t>COVERAGE GAP: Most reviews are global; limited LAC-specific meta-analyses</w:t>
      </w:r>
    </w:p>
    <w:p>
      <w:pPr>
        <w:pStyle w:val="Heading2"/>
      </w:pPr>
      <w:r>
        <w:rPr>
          <w:sz w:val="30"/>
        </w:rPr>
        <w:t>2.1 Jeong et al. (2018) - Meta-Analysis</w:t>
      </w:r>
    </w:p>
    <w:p>
      <w:r>
        <w:t>CITATION: Jeong, J., Pitchik, H. O., &amp; Yousafzai, A. K. (2018). Stimulation interventions and parenting in low-and middle-income countries: A meta-analysis. Pediatrics, 141(4), e20173510.</w:t>
      </w:r>
    </w:p>
    <w:p>
      <w:r>
        <w:t>SCOPE: 75 studies from low- and middle-income countries</w:t>
      </w:r>
    </w:p>
    <w:p>
      <w:r>
        <w:t>KEY FINDING: Pooled effect size 0.42 SD on child development; effects consistent across contexts</w:t>
      </w:r>
    </w:p>
    <w:p>
      <w:r>
        <w:t>CONTRIBUTION: Establishes generalizability; provides overall benchmark</w:t>
      </w:r>
    </w:p>
    <w:p>
      <w:pPr>
        <w:pStyle w:val="Heading2"/>
      </w:pPr>
      <w:r>
        <w:rPr>
          <w:sz w:val="30"/>
        </w:rPr>
        <w:t>2.2 Aboud &amp; Yousafzai (2015)</w:t>
      </w:r>
    </w:p>
    <w:p>
      <w:r>
        <w:t>CITATION: Aboud, F. E., &amp; Yousafzai, A. K. (2015). Global health and development in early childhood. Annual Review of Psychology, 66, 433-457.</w:t>
      </w:r>
    </w:p>
    <w:p>
      <w:r>
        <w:t>FINDING: Identifies effective components - responsive caregiving, materials, group delivery, sustained support</w:t>
      </w:r>
    </w:p>
    <w:p>
      <w:r>
        <w:t>CONTRIBUTION: Validates the case study program design elements</w:t>
      </w:r>
    </w:p>
    <w:p>
      <w:pPr>
        <w:pStyle w:val="Heading2"/>
      </w:pPr>
      <w:r>
        <w:rPr>
          <w:sz w:val="30"/>
        </w:rPr>
        <w:t>2.3 Nores &amp; Barnett (2010)</w:t>
      </w:r>
    </w:p>
    <w:p>
      <w:r>
        <w:t>CITATION: Nores, M., &amp; Barnett, W. S. (2010). Benefits of early childhood interventions across the world. Economics of Education Review, 29(2), 271-282.</w:t>
      </w:r>
    </w:p>
    <w:p>
      <w:r>
        <w:t>FINDING: Benefit-cost ratios 2:1 to 17:1</w:t>
      </w:r>
    </w:p>
    <w:p>
      <w:r>
        <w:t>CONTRIBUTION: Economic justification for investment</w:t>
      </w:r>
    </w:p>
    <w:p>
      <w:pPr>
        <w:pStyle w:val="Heading2"/>
      </w:pPr>
      <w:r>
        <w:rPr>
          <w:sz w:val="30"/>
        </w:rPr>
        <w:t>2.4 Rao et al. (2014)</w:t>
      </w:r>
    </w:p>
    <w:p>
      <w:r>
        <w:t>CITATION: Rao, N., Sun, J., Wong, J., et al. (2014). Early childhood development and cognitive development in developing countries: Rigorous literature review. DFID.</w:t>
      </w:r>
    </w:p>
    <w:p>
      <w:r>
        <w:t>CONTRIBUTION: Quality assessment of evidence; contextual factors affecting effectiveness</w:t>
      </w:r>
    </w:p>
    <w:p>
      <w:r>
        <w:br w:type="page"/>
      </w:r>
    </w:p>
    <w:p>
      <w:pPr>
        <w:pStyle w:val="Heading1"/>
      </w:pPr>
      <w:r>
        <w:rPr>
          <w:sz w:val="36"/>
        </w:rPr>
        <w:t>3. THEORETICAL FRAMEWORKS (4)</w:t>
      </w:r>
    </w:p>
    <w:p>
      <w:r>
        <w:t>EVIDENCE AVAILABILITY: Well-developed conceptual models from neuroscience, psychology, behavioral science</w:t>
      </w:r>
    </w:p>
    <w:p>
      <w:r>
        <w:t>Britto, P. R., et al. (2017). Nurturing care for early childhood development: A framework. The Lancet, 389(10064), 91-102.</w:t>
      </w:r>
    </w:p>
    <w:p>
      <w:r>
        <w:t>Black, M. M., et al. (2017). Early childhood development coming of age: Science through the life course. The Lancet, 389(10064), 77-90.</w:t>
      </w:r>
    </w:p>
    <w:p>
      <w:r>
        <w:t>Michie, S., et al. (2011). The behaviour change wheel: A new method for characterising behaviour change interventions. Implementation Science, 6(1), 42.</w:t>
      </w:r>
    </w:p>
    <w:p>
      <w:r>
        <w:t>Grantham-McGregor, S., et al. (2007). Developmental potential in the first 5 years for children in developing countries. The Lancet, 369(9555), 60-70.</w:t>
      </w:r>
    </w:p>
    <w:p>
      <w:pPr>
        <w:pStyle w:val="Heading1"/>
      </w:pPr>
      <w:r>
        <w:rPr>
          <w:sz w:val="36"/>
        </w:rPr>
        <w:t>4. IMPLEMENTATION/PROCESS STUDIES (1)</w:t>
      </w:r>
    </w:p>
    <w:p>
      <w:r>
        <w:t>EVIDENCE AVAILABILITY: Very limited research on implementation</w:t>
      </w:r>
    </w:p>
    <w:p>
      <w:r>
        <w:t>CRITICAL GAP IDENTIFIED: This is the most significant evidence gap</w:t>
      </w:r>
    </w:p>
    <w:p>
      <w:r>
        <w:t>Bernal, R., &amp; Fernández, C. (2013). Chile Crece Contigo: Evidence and policy lessons. IDB Technical Note No. 531.</w:t>
      </w:r>
    </w:p>
    <w:p>
      <w:r>
        <w:t>CONTRIBUTION: Documents coordination challenges, municipal capacity variation, 7-year lessons</w:t>
      </w:r>
    </w:p>
    <w:p>
      <w:r>
        <w:t>GAP DETAILS: Very few studies examine:</w:t>
      </w:r>
    </w:p>
    <w:p>
      <w:pPr>
        <w:pStyle w:val="ListBullet"/>
      </w:pPr>
      <w:r>
        <w:t>Facilitator quality and turnover rates</w:t>
      </w:r>
    </w:p>
    <w:p>
      <w:pPr>
        <w:pStyle w:val="ListBullet"/>
      </w:pPr>
      <w:r>
        <w:t>Family dropout reasons and participation barriers</w:t>
      </w:r>
    </w:p>
    <w:p>
      <w:pPr>
        <w:pStyle w:val="ListBullet"/>
      </w:pPr>
      <w:r>
        <w:t>Inter-ministerial coordination in practice</w:t>
      </w:r>
    </w:p>
    <w:p>
      <w:pPr>
        <w:pStyle w:val="ListBullet"/>
      </w:pPr>
      <w:r>
        <w:t>Municipal capacity constraints and variation</w:t>
      </w:r>
    </w:p>
    <w:p>
      <w:pPr>
        <w:pStyle w:val="ListBullet"/>
      </w:pPr>
      <w:r>
        <w:t>Cultural adaptation processes</w:t>
      </w:r>
    </w:p>
    <w:p>
      <w:pPr>
        <w:pStyle w:val="ListBullet"/>
      </w:pPr>
      <w:r>
        <w:t>Fidelity of implementation across contexts</w:t>
      </w:r>
    </w:p>
    <w:p>
      <w:pPr>
        <w:pStyle w:val="Heading1"/>
      </w:pPr>
      <w:r>
        <w:rPr>
          <w:sz w:val="36"/>
        </w:rPr>
        <w:t>5. LAC-SPECIFIC EVIDENCE (6)</w:t>
      </w:r>
    </w:p>
    <w:p>
      <w:r>
        <w:t>EVIDENCE AVAILABILITY: Solid base from major LAC countries</w:t>
      </w:r>
    </w:p>
    <w:p>
      <w:r>
        <w:t>COVERAGE GAP: Limited Central America and Caribbean evidence</w:t>
      </w:r>
    </w:p>
    <w:p>
      <w:r>
        <w:t>Studies included:</w:t>
      </w:r>
    </w:p>
    <w:p>
      <w:pPr>
        <w:pStyle w:val="ListBullet"/>
      </w:pPr>
      <w:r>
        <w:t>Costa (2022) - Brazil PIM</w:t>
      </w:r>
    </w:p>
    <w:p>
      <w:pPr>
        <w:pStyle w:val="ListBullet"/>
      </w:pPr>
      <w:r>
        <w:t>Attanasio et al. (2014, 2018) - Colombia</w:t>
      </w:r>
    </w:p>
    <w:p>
      <w:pPr>
        <w:pStyle w:val="ListBullet"/>
      </w:pPr>
      <w:r>
        <w:t>Bernal &amp; Fernández (2013) - Chile</w:t>
      </w:r>
    </w:p>
    <w:p>
      <w:pPr>
        <w:pStyle w:val="ListBullet"/>
      </w:pPr>
      <w:r>
        <w:t>Araujo, M. C., et al. (2021). Home visiting at scale. Journal of Public Economics Plus, 2, 100003.</w:t>
      </w:r>
    </w:p>
    <w:p>
      <w:pPr>
        <w:pStyle w:val="ListBullet"/>
      </w:pPr>
      <w:r>
        <w:t>Berlinski, S., et al. (2009). Effect of pre-primary education on primary school. Journal of Public Economics, 93, 219-234.</w:t>
      </w:r>
    </w:p>
    <w:p>
      <w:pPr>
        <w:pStyle w:val="ListBullet"/>
      </w:pPr>
      <w:r>
        <w:t>Barros, A. J., et al. (2010). Child development in Brazil birth cohort. International Journal of Epidemiology, 39(1), 285-294.</w:t>
      </w:r>
    </w:p>
    <w:p>
      <w:r>
        <w:br w:type="page"/>
      </w:r>
    </w:p>
    <w:p>
      <w:pPr>
        <w:pStyle w:val="Heading1"/>
      </w:pPr>
      <w:r>
        <w:rPr>
          <w:sz w:val="36"/>
        </w:rPr>
        <w:t>CRITICAL GAPS SUMMARY</w:t>
      </w:r>
    </w:p>
    <w:p>
      <w:r>
        <w:t>The evidence mapping reveals a clear pattern:</w:t>
      </w:r>
    </w:p>
    <w:p>
      <w:r>
        <w:t>ABUNDANT EVIDENCE ON:</w:t>
      </w:r>
    </w:p>
    <w:p>
      <w:pPr>
        <w:pStyle w:val="ListBullet"/>
      </w:pPr>
      <w:r>
        <w:t>What works: Multiple RCTs showing parenting programs improve child development</w:t>
      </w:r>
    </w:p>
    <w:p>
      <w:pPr>
        <w:pStyle w:val="ListBullet"/>
      </w:pPr>
      <w:r>
        <w:t>Effect sizes: Meta-analyses providing pooled estimates (0.42 SD average)</w:t>
      </w:r>
    </w:p>
    <w:p>
      <w:pPr>
        <w:pStyle w:val="ListBullet"/>
      </w:pPr>
      <w:r>
        <w:t>Mechanisms: Theoretical frameworks explaining pathways</w:t>
      </w:r>
    </w:p>
    <w:p>
      <w:pPr>
        <w:pStyle w:val="ListBullet"/>
      </w:pPr>
      <w:r>
        <w:t>Long-term persistence: Jamaica 20-year follow-up</w:t>
      </w:r>
    </w:p>
    <w:p>
      <w:r>
        <w:t>CRITICAL GAPS IN:</w:t>
      </w:r>
    </w:p>
    <w:p>
      <w:pPr>
        <w:pStyle w:val="ListBullet"/>
      </w:pPr>
      <w:r>
        <w:t>HOW programs work in practice: Very limited implementation research</w:t>
      </w:r>
    </w:p>
    <w:p>
      <w:pPr>
        <w:pStyle w:val="ListBullet"/>
      </w:pPr>
      <w:r>
        <w:t>Facilitator dynamics: Quality, training effectiveness, turnover</w:t>
      </w:r>
    </w:p>
    <w:p>
      <w:pPr>
        <w:pStyle w:val="ListBullet"/>
      </w:pPr>
      <w:r>
        <w:t>Dropout and barriers: Why families leave programs, what prevents participation</w:t>
      </w:r>
    </w:p>
    <w:p>
      <w:pPr>
        <w:pStyle w:val="ListBullet"/>
      </w:pPr>
      <w:r>
        <w:t>Coordination: How inter-ministerial collaboration actually functions</w:t>
      </w:r>
    </w:p>
    <w:p>
      <w:pPr>
        <w:pStyle w:val="ListBullet"/>
      </w:pPr>
      <w:r>
        <w:t>Contextual adaptation: How programs are modified for different settings</w:t>
      </w:r>
    </w:p>
    <w:p>
      <w:pPr>
        <w:pStyle w:val="Heading1"/>
      </w:pPr>
      <w:r>
        <w:rPr>
          <w:sz w:val="36"/>
        </w:rPr>
        <w:t>PEDAGOGICAL IMPLICATIONS</w:t>
      </w:r>
    </w:p>
    <w:p>
      <w:r>
        <w:t>These gaps create important teaching opportunities in EVALAC I:</w:t>
      </w:r>
    </w:p>
    <w:p>
      <w:pPr>
        <w:pStyle w:val="ListBullet"/>
      </w:pPr>
      <w:r>
        <w:t>Explains why contribution analysis is necessary: We cannot assume programs function as designed</w:t>
      </w:r>
    </w:p>
    <w:p>
      <w:pPr>
        <w:pStyle w:val="ListBullet"/>
      </w:pPr>
      <w:r>
        <w:t>Justifies rigorous monitoring: Limited implementation evidence means we must generate it ourselves</w:t>
      </w:r>
    </w:p>
    <w:p>
      <w:pPr>
        <w:pStyle w:val="ListBullet"/>
      </w:pPr>
      <w:r>
        <w:t>Emphasizes mixed methods: Quantitative impacts alone cannot explain how change occurred</w:t>
      </w:r>
    </w:p>
    <w:p>
      <w:pPr>
        <w:pStyle w:val="ListBullet"/>
      </w:pPr>
      <w:r>
        <w:t>Highlights assumption testing: Critical to examine whether expected mechanisms actually operate</w:t>
      </w:r>
    </w:p>
    <w:p>
      <w:pPr>
        <w:pStyle w:val="ListBullet"/>
      </w:pPr>
      <w:r>
        <w:t>Demonstrates contribution vs attribution: Attribution often infeasible given implementation complexity</w:t>
      </w:r>
    </w:p>
    <w:p>
      <w:r>
        <w:t>The the case study monitoring system is designed to fill implementation gaps by tracking fidelity, mechanisms, and context systematically.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04CFED403076D64EB9A4D1FEC9D94FDA" ma:contentTypeVersion="24" ma:contentTypeDescription="Crie um novo documento." ma:contentTypeScope="" ma:versionID="15e776f1d78ea301efbd46e920417704">
  <xsd:schema xmlns:xsd="http://www.w3.org/2001/XMLSchema" xmlns:xs="http://www.w3.org/2001/XMLSchema" xmlns:p="http://schemas.microsoft.com/office/2006/metadata/properties" xmlns:ns2="3ea11658-226e-40d5-a290-01cb485fca17" xmlns:ns3="53b384bf-b751-4e05-97c8-c72dd0c21351" targetNamespace="http://schemas.microsoft.com/office/2006/metadata/properties" ma:root="true" ma:fieldsID="d4e54741e09f20093404976b7626e9c5" ns2:_="" ns3:_="">
    <xsd:import namespace="3ea11658-226e-40d5-a290-01cb485fca17"/>
    <xsd:import namespace="53b384bf-b751-4e05-97c8-c72dd0c213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xb1l"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mecompleto" minOccurs="0"/>
                <xsd:element ref="ns2:E_x002d_mailparacontato" minOccurs="0"/>
                <xsd:element ref="ns2:EMAILTESTE" minOccurs="0"/>
                <xsd:element ref="ns2:Data"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a11658-226e-40d5-a290-01cb485fca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xb1l" ma:index="20" nillable="true" ma:displayName="Data e hora" ma:internalName="xb1l">
      <xsd:simpleType>
        <xsd:restriction base="dms:DateTime"/>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Marcações de imagem" ma:readOnly="false" ma:fieldId="{5cf76f15-5ced-4ddc-b409-7134ff3c332f}" ma:taxonomyMulti="true" ma:sspId="df19fe77-5e58-4a19-b499-fd74128cdda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Nomecompleto" ma:index="27" nillable="true" ma:displayName="Nome completo" ma:format="Dropdown" ma:internalName="Nomecompleto">
      <xsd:simpleType>
        <xsd:restriction base="dms:Text">
          <xsd:maxLength value="255"/>
        </xsd:restriction>
      </xsd:simpleType>
    </xsd:element>
    <xsd:element name="E_x002d_mailparacontato" ma:index="28" nillable="true" ma:displayName="E-mail para contato" ma:format="Dropdown" ma:internalName="E_x002d_mailparacontato">
      <xsd:simpleType>
        <xsd:restriction base="dms:Text">
          <xsd:maxLength value="255"/>
        </xsd:restriction>
      </xsd:simpleType>
    </xsd:element>
    <xsd:element name="EMAILTESTE" ma:index="29" nillable="true" ma:displayName="E-mail teste" ma:format="Dropdown" ma:internalName="EMAILTESTE">
      <xsd:simpleType>
        <xsd:restriction base="dms:Text">
          <xsd:maxLength value="255"/>
        </xsd:restriction>
      </xsd:simpleType>
    </xsd:element>
    <xsd:element name="Data" ma:index="30" nillable="true" ma:displayName="Data" ma:format="DateTime" ma:internalName="Data">
      <xsd:simpleType>
        <xsd:restriction base="dms:DateTime"/>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b384bf-b751-4e05-97c8-c72dd0c21351"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4" nillable="true" ma:displayName="Taxonomy Catch All Column" ma:hidden="true" ma:list="{5d86c675-f181-47ab-838d-71ac082c8817}" ma:internalName="TaxCatchAll" ma:showField="CatchAllData" ma:web="53b384bf-b751-4e05-97c8-c72dd0c213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3b384bf-b751-4e05-97c8-c72dd0c21351" xsi:nil="true"/>
    <Data xmlns="3ea11658-226e-40d5-a290-01cb485fca17" xsi:nil="true"/>
    <xb1l xmlns="3ea11658-226e-40d5-a290-01cb485fca17" xsi:nil="true"/>
    <lcf76f155ced4ddcb4097134ff3c332f xmlns="3ea11658-226e-40d5-a290-01cb485fca17">
      <Terms xmlns="http://schemas.microsoft.com/office/infopath/2007/PartnerControls"/>
    </lcf76f155ced4ddcb4097134ff3c332f>
    <EMAILTESTE xmlns="3ea11658-226e-40d5-a290-01cb485fca17" xsi:nil="true"/>
    <E_x002d_mailparacontato xmlns="3ea11658-226e-40d5-a290-01cb485fca17" xsi:nil="true"/>
    <Nomecompleto xmlns="3ea11658-226e-40d5-a290-01cb485fca17"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9F3F74A-6E12-4696-9D6B-CD8AE4CD4D40}"/>
</file>

<file path=customXml/itemProps3.xml><?xml version="1.0" encoding="utf-8"?>
<ds:datastoreItem xmlns:ds="http://schemas.openxmlformats.org/officeDocument/2006/customXml" ds:itemID="{94D76ACC-A247-4286-AD65-2A7A708BB057}"/>
</file>

<file path=customXml/itemProps4.xml><?xml version="1.0" encoding="utf-8"?>
<ds:datastoreItem xmlns:ds="http://schemas.openxmlformats.org/officeDocument/2006/customXml" ds:itemID="{E96B6072-3A36-4BC1-BDBA-9DE13CFFADC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0x01010004CFED403076D64EB9A4D1FEC9D94FDA</vt:lpwstr>
  </property>
</Properties>
</file>