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28"/>
          <w:szCs w:val="28"/>
        </w:rPr>
        <w:t xml:space="preserve">EVALAC I — CASE STUDY</w:t>
      </w:r>
    </w:p>
    <w:p>
      <w:pPr>
        <w:spacing w:after="200"/>
        <w:jc w:val="center"/>
      </w:pPr>
      <w:r>
        <w:rPr>
          <w:color w:val="2E75B6"/>
          <w:sz w:val="26"/>
          <w:szCs w:val="26"/>
        </w:rPr>
        <w:t xml:space="preserve">CHEAT SHEET: SESSION 4 — Quantitative Methods</w:t>
      </w:r>
    </w:p>
    <w:p>
      <w:pPr>
        <w:spacing w:after="400"/>
        <w:jc w:val="center"/>
      </w:pPr>
      <w:r>
        <w:rPr>
          <w:i/>
          <w:iCs/>
          <w:color w:val="666666"/>
          <w:sz w:val="22"/>
          <w:szCs w:val="22"/>
        </w:rPr>
        <w:t xml:space="preserve">Creciendo Juntos (Integrated Early Childhood Development)</w:t>
      </w:r>
    </w:p>
    <w:p>
      <w:r>
        <w:rPr>
          <w:b/>
          <w:bCs/>
        </w:rPr>
        <w:t xml:space="preserve">SESSION LEARNING OBJECTIVE: </w:t>
      </w:r>
      <w:r>
        <w:t xml:space="preserve">Participants use quantitative analysis to test ToC relationships, assess evidence strength, and identify where qualitative evidence (Session 3) complements statistical findings.</w:t>
      </w:r>
    </w:p>
    <w:p>
      <w:r>
        <w:rPr>
          <w:b/>
          <w:bCs/>
        </w:rPr>
        <w:t xml:space="preserve">PEDAGOGICAL APPROACH: </w:t>
      </w:r>
      <w:r>
        <w:t xml:space="preserve">Participants receive data tables and must interpret them in terms of the ToC and contribution analysis. Emphasis on what quantitative evidence CAN and CANNOT establish.</w:t>
      </w:r>
    </w:p>
    <w:p/>
    <w:p>
      <w:pPr>
        <w:pStyle w:val="Heading1"/>
      </w:pPr>
      <w:r>
        <w:t xml:space="preserve">EXERCISE 1: DOSE-RESPONSE ANALYSIS</w:t>
      </w:r>
    </w:p>
    <w:p>
      <w:pPr>
        <w:pBdr>
          <w:left w:val="single" w:color="2E75B6" w:sz="6" w:space="8"/>
        </w:pBdr>
        <w:spacing w:before="80" w:after="160"/>
        <w:ind w:left="200"/>
      </w:pPr>
      <w:r>
        <w:rPr>
          <w:b/>
          <w:bCs/>
          <w:color w:val="2E75B6"/>
          <w:sz w:val="20"/>
          <w:szCs w:val="20"/>
        </w:rPr>
        <w:t xml:space="preserve">📖 NARRATIVE REFERENCE: </w:t>
      </w:r>
      <w:r>
        <w:rPr>
          <w:i/>
          <w:iCs/>
          <w:color w:val="2E75B6"/>
          <w:sz w:val="20"/>
          <w:szCs w:val="20"/>
        </w:rPr>
        <w:t xml:space="preserve">Review attendance indicator from Session 2 and Assumption 4 from Session 1.</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You are given attendance data linked to developmental outcomes. Analyze the pattern: does MORE participation lead to BETTER outcomes? What does this tell us about the program’s contribution? What are the limitations of this evidence?</w:t>
      </w:r>
    </w:p>
    <w:p>
      <w:r>
        <w:rPr>
          <w:b/>
          <w:bCs/>
        </w:rPr>
        <w:t xml:space="preserve">TIME: </w:t>
      </w:r>
      <w:r>
        <w:t xml:space="preserve">20 minutes (small groups analyze data) + 10 minutes (plenary)</w:t>
      </w:r>
    </w:p>
    <w:p>
      <w:r>
        <w:rPr>
          <w:b/>
          <w:bCs/>
        </w:rPr>
        <w:t xml:space="preserve">FORMAT: </w:t>
      </w:r>
      <w:r>
        <w:t xml:space="preserve">Groups receive data table as handout. Each group answers: (1) describe the pattern, (2) what it means for contribution, (3) what it doesn’t prove.</w:t>
      </w:r>
    </w:p>
    <w:p/>
    <w:p>
      <w:pPr>
        <w:spacing w:after="120"/>
      </w:pPr>
      <w:r>
        <w:rPr>
          <w:b/>
          <w:bCs/>
        </w:rPr>
        <w:t xml:space="preserve">DATA PROVIDED:</w:t>
      </w:r>
    </w:p>
    <w:p>
      <w:pPr>
        <w:pStyle w:val="ListParagraph"/>
        <w:numPr>
          <w:ilvl w:val="0"/>
          <w:numId w:val="2"/>
        </w:numPr>
        <w:spacing w:after="60"/>
      </w:pPr>
      <w:r>
        <w:t xml:space="preserve">Q4 (30–36 sessions attended): 75% achieve age-appropriate development</w:t>
      </w:r>
    </w:p>
    <w:p>
      <w:pPr>
        <w:pStyle w:val="ListParagraph"/>
        <w:numPr>
          <w:ilvl w:val="0"/>
          <w:numId w:val="2"/>
        </w:numPr>
        <w:spacing w:after="60"/>
      </w:pPr>
      <w:r>
        <w:t xml:space="preserve">Q3 (25–29 sessions): 62%</w:t>
      </w:r>
    </w:p>
    <w:p>
      <w:pPr>
        <w:pStyle w:val="ListParagraph"/>
        <w:numPr>
          <w:ilvl w:val="0"/>
          <w:numId w:val="2"/>
        </w:numPr>
        <w:spacing w:after="60"/>
      </w:pPr>
      <w:r>
        <w:t xml:space="preserve">Q2 (20–24 sessions): 48%</w:t>
      </w:r>
    </w:p>
    <w:p>
      <w:pPr>
        <w:pStyle w:val="ListParagraph"/>
        <w:numPr>
          <w:ilvl w:val="0"/>
          <w:numId w:val="2"/>
        </w:numPr>
        <w:spacing w:after="60"/>
      </w:pPr>
      <w:r>
        <w:t xml:space="preserve">Q1 (&lt;20 sessions): 38%</w:t>
      </w:r>
    </w:p>
    <w:p>
      <w:pPr>
        <w:pStyle w:val="ListParagraph"/>
        <w:numPr>
          <w:ilvl w:val="0"/>
          <w:numId w:val="2"/>
        </w:numPr>
        <w:spacing w:after="60"/>
      </w:pPr>
      <w:r>
        <w:t xml:space="preserve">Comparison group (no program): 40%</w:t>
      </w:r>
    </w:p>
    <w:p/>
    <w:p>
      <w:pPr>
        <w:spacing w:after="120"/>
      </w:pPr>
      <w:r>
        <w:rPr>
          <w:b/>
          <w:bCs/>
        </w:rPr>
        <w:t xml:space="preserve">ANSWER KEY:</w:t>
      </w:r>
    </w:p>
    <w:p>
      <w:r>
        <w:t xml:space="preserve">Clear gradient: more exposure → better results. Q4 far exceeds comparison (75% vs 40%). Even Q2 shows improvement over comparison. This dose-response pattern strongly supports contribution — if improvement were due to selection or secular trends, we would not expect this gradient.</w:t>
      </w:r>
    </w:p>
    <w:p>
      <w:pPr>
        <w:pBdr>
          <w:left w:val="single" w:color="548235" w:sz="6" w:space="8"/>
        </w:pBdr>
        <w:spacing w:before="80" w:after="120"/>
        <w:ind w:left="200"/>
      </w:pPr>
      <w:r>
        <w:rPr>
          <w:b/>
          <w:bCs/>
          <w:color w:val="548235"/>
          <w:sz w:val="20"/>
          <w:szCs w:val="20"/>
        </w:rPr>
        <w:t xml:space="preserve">💡 TEACHING POINT: </w:t>
      </w:r>
      <w:r>
        <w:rPr>
          <w:color w:val="548235"/>
          <w:sz w:val="20"/>
          <w:szCs w:val="20"/>
        </w:rPr>
        <w:t xml:space="preserve">Note that Q1 (&lt;20 sessions) performs BELOW comparison (38% vs 40%). This could mean these families have the highest barriers, not just low attendance. This is where qualitative evidence from Session 3 becomes essential — WHO are these families and WHY did they attend so little?</w:t>
      </w:r>
    </w:p>
    <w:p>
      <w:r>
        <w:br w:type="page"/>
      </w:r>
    </w:p>
    <w:p>
      <w:pPr>
        <w:pStyle w:val="Heading1"/>
      </w:pPr>
      <w:r>
        <w:t xml:space="preserve">EXERCISE 2: MEDIATION ANALYSIS</w:t>
      </w:r>
    </w:p>
    <w:p>
      <w:pPr>
        <w:pBdr>
          <w:left w:val="single" w:color="2E75B6" w:sz="6" w:space="8"/>
        </w:pBdr>
        <w:spacing w:before="80" w:after="160"/>
        <w:ind w:left="200"/>
      </w:pPr>
      <w:r>
        <w:rPr>
          <w:b/>
          <w:bCs/>
          <w:color w:val="2E75B6"/>
          <w:sz w:val="20"/>
          <w:szCs w:val="20"/>
        </w:rPr>
        <w:t xml:space="preserve">📖 NARRATIVE REFERENCE: </w:t>
      </w:r>
      <w:r>
        <w:rPr>
          <w:i/>
          <w:iCs/>
          <w:color w:val="2E75B6"/>
          <w:sz w:val="20"/>
          <w:szCs w:val="20"/>
        </w:rPr>
        <w:t xml:space="preserve">Review the behavioral mechanism pathway from Session 1, Exercise 3.</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The evaluation team found that 65% of the program’s effect on child development operates through increased interaction time. Discuss: (a) what does this mean for our ToC? (b) what does the remaining 35% represent? (c) what would it mean if 0% were mediated?</w:t>
      </w:r>
    </w:p>
    <w:p>
      <w:r>
        <w:rPr>
          <w:b/>
          <w:bCs/>
        </w:rPr>
        <w:t xml:space="preserve">TIME: </w:t>
      </w:r>
      <w:r>
        <w:t xml:space="preserve">15 minutes (pairs) + 10 minutes (plenary)</w:t>
      </w:r>
    </w:p>
    <w:p>
      <w:r>
        <w:rPr>
          <w:b/>
          <w:bCs/>
        </w:rPr>
        <w:t xml:space="preserve">FORMAT: </w:t>
      </w:r>
      <w:r>
        <w:t xml:space="preserve">Think-pair-share. Each pair discusses, then shares with plenary.</w:t>
      </w:r>
    </w:p>
    <w:p/>
    <w:p>
      <w:pPr>
        <w:spacing w:after="120"/>
      </w:pPr>
      <w:r>
        <w:rPr>
          <w:b/>
          <w:bCs/>
        </w:rPr>
        <w:t xml:space="preserve">ANSWER KEY:</w:t>
      </w:r>
    </w:p>
    <w:p>
      <w:r>
        <w:t xml:space="preserve">65% mediation confirms the behavioral mechanism is the primary pathway — the program works THROUGH changing caregiver behavior, as the ToC predicts. The remaining 35% may operate through other pathways (nutrition improvement, peer support reducing stress, or direct cognitive stimulation at learning centers). If 0% were mediated, the ToC mechanism would be disconfirmed — outcomes improved but NOT through the expected pathway, dramatically weakening the contribution claim.</w:t>
      </w:r>
    </w:p>
    <w:p>
      <w:pPr>
        <w:pBdr>
          <w:left w:val="single" w:color="548235" w:sz="6" w:space="8"/>
        </w:pBdr>
        <w:spacing w:before="80" w:after="120"/>
        <w:ind w:left="200"/>
      </w:pPr>
      <w:r>
        <w:rPr>
          <w:b/>
          <w:bCs/>
          <w:color w:val="548235"/>
          <w:sz w:val="20"/>
          <w:szCs w:val="20"/>
        </w:rPr>
        <w:t xml:space="preserve">💡 TEACHING POINT: </w:t>
      </w:r>
      <w:r>
        <w:rPr>
          <w:color w:val="548235"/>
          <w:sz w:val="20"/>
          <w:szCs w:val="20"/>
        </w:rPr>
        <w:t xml:space="preserve">Mediation analysis is powerful because it tests the “why” statistically. But it cannot capture everything qualitative research reveals — the grandmother opposition, the WhatsApp networks, the father engagement. Contribution analysis needs both.</w:t>
      </w:r>
    </w:p>
    <w:p>
      <w:r>
        <w:br w:type="page"/>
      </w:r>
    </w:p>
    <w:p>
      <w:pPr>
        <w:pStyle w:val="Heading1"/>
      </w:pPr>
      <w:r>
        <w:t xml:space="preserve">EXERCISE 3: TIMELINE CONSISTENCY</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Review the data below showing WHEN different indicators changed. (a) Does the observed sequence match the expected ToC sequence? (b) What would you conclude if outcomes appeared BEFORE behavior change? (c) How does this evidence interact with qualitative findings from Session 3?</w:t>
      </w:r>
    </w:p>
    <w:p>
      <w:r>
        <w:rPr>
          <w:b/>
          <w:bCs/>
        </w:rPr>
        <w:t xml:space="preserve">TIME: </w:t>
      </w:r>
      <w:r>
        <w:t xml:space="preserve">15 minutes (group discussion)</w:t>
      </w:r>
    </w:p>
    <w:p>
      <w:r>
        <w:rPr>
          <w:b/>
          <w:bCs/>
        </w:rPr>
        <w:t xml:space="preserve">FORMAT: </w:t>
      </w:r>
      <w:r>
        <w:t xml:space="preserve">Facilitator draws timeline on board; groups place evidence.</w:t>
      </w:r>
    </w:p>
    <w:p/>
    <w:p>
      <w:pPr>
        <w:spacing w:after="120"/>
      </w:pPr>
      <w:r>
        <w:rPr>
          <w:b/>
          <w:bCs/>
        </w:rPr>
        <w:t xml:space="preserve">DATA PROVIDED:</w:t>
      </w:r>
    </w:p>
    <w:p>
      <w:pPr>
        <w:pStyle w:val="ListParagraph"/>
        <w:numPr>
          <w:ilvl w:val="0"/>
          <w:numId w:val="2"/>
        </w:numPr>
        <w:spacing w:after="60"/>
      </w:pPr>
      <w:r>
        <w:t xml:space="preserve">Month 5: Knowledge scores increase significantly (treatment &gt;&gt; comparison)</w:t>
      </w:r>
    </w:p>
    <w:p>
      <w:pPr>
        <w:pStyle w:val="ListParagraph"/>
        <w:numPr>
          <w:ilvl w:val="0"/>
          <w:numId w:val="2"/>
        </w:numPr>
        <w:spacing w:after="60"/>
      </w:pPr>
      <w:r>
        <w:t xml:space="preserve">Month 9: Interaction time and quality improve significantly</w:t>
      </w:r>
    </w:p>
    <w:p>
      <w:pPr>
        <w:pStyle w:val="ListParagraph"/>
        <w:numPr>
          <w:ilvl w:val="0"/>
          <w:numId w:val="2"/>
        </w:numPr>
        <w:spacing w:after="60"/>
      </w:pPr>
      <w:r>
        <w:t xml:space="preserve">Month 12: Child development scores begin to diverge</w:t>
      </w:r>
    </w:p>
    <w:p>
      <w:pPr>
        <w:pStyle w:val="ListParagraph"/>
        <w:numPr>
          <w:ilvl w:val="0"/>
          <w:numId w:val="2"/>
        </w:numPr>
        <w:spacing w:after="60"/>
      </w:pPr>
      <w:r>
        <w:t xml:space="preserve">Month 24: Large treatment-comparison gap in child development</w:t>
      </w:r>
    </w:p>
    <w:p>
      <w:pPr>
        <w:pStyle w:val="ListParagraph"/>
        <w:numPr>
          <w:ilvl w:val="0"/>
          <w:numId w:val="2"/>
        </w:numPr>
        <w:spacing w:after="60"/>
      </w:pPr>
      <w:r>
        <w:t xml:space="preserve">Qualitative (Month 6): Caregivers report “moments of realization” about child’s response</w:t>
      </w:r>
    </w:p>
    <w:p>
      <w:pPr>
        <w:pStyle w:val="ListParagraph"/>
        <w:numPr>
          <w:ilvl w:val="0"/>
          <w:numId w:val="2"/>
        </w:numPr>
        <w:spacing w:after="60"/>
      </w:pPr>
      <w:r>
        <w:t xml:space="preserve">Qualitative (Month 12): Facilitators observe routines changing at home</w:t>
      </w:r>
    </w:p>
    <w:p/>
    <w:p>
      <w:pPr>
        <w:spacing w:after="120"/>
      </w:pPr>
      <w:r>
        <w:rPr>
          <w:b/>
          <w:bCs/>
        </w:rPr>
        <w:t xml:space="preserve">ANSWER KEY:</w:t>
      </w:r>
    </w:p>
    <w:p>
      <w:r>
        <w:t xml:space="preserve">Observed sequence matches expected: Capability (M5) → Behavior (M9) → Outcomes (M12–24). Qualitative evidence fills in the mechanism: caregivers describe the transition from knowledge to practice. If outcomes had appeared at M5 (before behavior change), it would suggest an alternative explanation. Timeline consistency is one of the strongest contribution analysis tests.</w:t>
      </w:r>
    </w:p>
    <w:p>
      <w:r>
        <w:br w:type="page"/>
      </w:r>
    </w:p>
    <w:p>
      <w:pPr>
        <w:pStyle w:val="Heading1"/>
      </w:pPr>
      <w:r>
        <w:t xml:space="preserve">EXERCISE 4: TREATMENT VS COMPARISON</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Compare treatment and comparison group results below. (a) What conclusions can you draw? (b) What are the limitations given that assignment was NOT randomized? (c) How would you combine this with qualitative evidence to strengthen the contribution claim?</w:t>
      </w:r>
    </w:p>
    <w:p>
      <w:r>
        <w:rPr>
          <w:b/>
          <w:bCs/>
        </w:rPr>
        <w:t xml:space="preserve">TIME: </w:t>
      </w:r>
      <w:r>
        <w:t xml:space="preserve">15 minutes (small groups) + 10 minutes (plenary)</w:t>
      </w:r>
    </w:p>
    <w:p>
      <w:r>
        <w:rPr>
          <w:b/>
          <w:bCs/>
        </w:rPr>
        <w:t xml:space="preserve">FORMAT: </w:t>
      </w:r>
      <w:r>
        <w:t xml:space="preserve">Groups receive data table; must identify both what the data shows AND what it cannot prove.</w:t>
      </w:r>
    </w:p>
    <w:p/>
    <w:p>
      <w:pPr>
        <w:spacing w:after="120"/>
      </w:pPr>
      <w:r>
        <w:rPr>
          <w:b/>
          <w:bCs/>
        </w:rPr>
        <w:t xml:space="preserve">DATA PROVIDED:</w:t>
      </w:r>
    </w:p>
    <w:p>
      <w:pPr>
        <w:pStyle w:val="ListParagraph"/>
        <w:numPr>
          <w:ilvl w:val="0"/>
          <w:numId w:val="2"/>
        </w:numPr>
        <w:spacing w:after="60"/>
      </w:pPr>
      <w:r>
        <w:t xml:space="preserve">Child development: Treatment 65%, Comparison 40% (25pp gap)</w:t>
      </w:r>
    </w:p>
    <w:p>
      <w:pPr>
        <w:pStyle w:val="ListParagraph"/>
        <w:numPr>
          <w:ilvl w:val="0"/>
          <w:numId w:val="2"/>
        </w:numPr>
        <w:spacing w:after="60"/>
      </w:pPr>
      <w:r>
        <w:t xml:space="preserve">Interaction time: Treatment 45 min, Comparison 20 min (25 min gap)</w:t>
      </w:r>
    </w:p>
    <w:p>
      <w:pPr>
        <w:pStyle w:val="ListParagraph"/>
        <w:numPr>
          <w:ilvl w:val="0"/>
          <w:numId w:val="2"/>
        </w:numPr>
        <w:spacing w:after="60"/>
      </w:pPr>
      <w:r>
        <w:t xml:space="preserve">Knowledge: Treatment 80%, Comparison 30% (50pp gap)</w:t>
      </w:r>
    </w:p>
    <w:p>
      <w:pPr>
        <w:pStyle w:val="ListParagraph"/>
        <w:numPr>
          <w:ilvl w:val="0"/>
          <w:numId w:val="2"/>
        </w:numPr>
        <w:spacing w:after="60"/>
      </w:pPr>
      <w:r>
        <w:t xml:space="preserve">Peer networks: Treatment 70%, Comparison 15% (55pp gap)</w:t>
      </w:r>
    </w:p>
    <w:p/>
    <w:p>
      <w:pPr>
        <w:spacing w:after="120"/>
      </w:pPr>
      <w:r>
        <w:rPr>
          <w:b/>
          <w:bCs/>
        </w:rPr>
        <w:t xml:space="preserve">ANSWER KEY:</w:t>
      </w:r>
    </w:p>
    <w:p>
      <w:r>
        <w:t xml:space="preserve">Treatment substantially outperforms comparison across ALL levels — not just outcomes but mechanisms too. If only outcomes differed, we’d wonder about selection bias. But the fact that mechanisms (knowledge, interaction, networks) also differ is powerful: it shows the ENTIRE causal chain operated.</w:t>
      </w:r>
    </w:p>
    <w:p>
      <w:pPr>
        <w:pBdr>
          <w:left w:val="single" w:color="548235" w:sz="6" w:space="8"/>
        </w:pBdr>
        <w:spacing w:before="80" w:after="120"/>
        <w:ind w:left="200"/>
      </w:pPr>
      <w:r>
        <w:rPr>
          <w:b/>
          <w:bCs/>
          <w:color w:val="548235"/>
          <w:sz w:val="20"/>
          <w:szCs w:val="20"/>
        </w:rPr>
        <w:t xml:space="preserve">💡 TEACHING POINT: </w:t>
      </w:r>
      <w:r>
        <w:rPr>
          <w:color w:val="548235"/>
          <w:sz w:val="20"/>
          <w:szCs w:val="20"/>
        </w:rPr>
        <w:t xml:space="preserve">Without randomization, we cannot definitively rule out selection bias. This is precisely why contribution analysis does NOT rely solely on treatment-comparison. It triangulates: dose-response (Ex 1) + mediation (Ex 2) + timeline (Ex 3) + comparison (this Ex) + qualitative (Session 3) = multiple independent lines of evidence converging.</w:t>
      </w:r>
    </w:p>
    <w:p>
      <w:r>
        <w:br w:type="page"/>
      </w:r>
    </w:p>
    <w:p>
      <w:pPr>
        <w:pStyle w:val="Heading1"/>
      </w:pPr>
      <w:r>
        <w:t xml:space="preserve">EXERCISE 5: HETEROGENEITY — FOR WHOM DOES IT WORK?</w:t>
      </w:r>
    </w:p>
    <w:p>
      <w:pPr>
        <w:pBdr>
          <w:left w:val="single" w:color="2E75B6" w:sz="6" w:space="8"/>
        </w:pBdr>
        <w:spacing w:before="80" w:after="160"/>
        <w:ind w:left="200"/>
      </w:pPr>
      <w:r>
        <w:rPr>
          <w:b/>
          <w:bCs/>
          <w:color w:val="2E75B6"/>
          <w:sz w:val="20"/>
          <w:szCs w:val="20"/>
        </w:rPr>
        <w:t xml:space="preserve">📖 NARRATIVE REFERENCE: </w:t>
      </w:r>
      <w:r>
        <w:rPr>
          <w:i/>
          <w:iCs/>
          <w:color w:val="2E75B6"/>
          <w:sz w:val="20"/>
          <w:szCs w:val="20"/>
        </w:rPr>
        <w:t xml:space="preserve">Connect with qualitative heterogeneity findings from Session 3, Exercise 3.</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The data below shows effects vary by subgroup. (a) What patterns emerge? (b) What are the equity implications? (c) For subgroups where effects are weaker, what does qualitative evidence from Session 3 suggest as explanations?</w:t>
      </w:r>
    </w:p>
    <w:p>
      <w:r>
        <w:rPr>
          <w:b/>
          <w:bCs/>
        </w:rPr>
        <w:t xml:space="preserve">TIME: </w:t>
      </w:r>
      <w:r>
        <w:t xml:space="preserve">15 minutes (groups) + 10 minutes (plenary)</w:t>
      </w:r>
    </w:p>
    <w:p>
      <w:r>
        <w:rPr>
          <w:b/>
          <w:bCs/>
        </w:rPr>
        <w:t xml:space="preserve">FORMAT: </w:t>
      </w:r>
      <w:r>
        <w:t xml:space="preserve">Groups analyze one subgroup dimension each; connect quanti pattern to quali explanation.</w:t>
      </w:r>
    </w:p>
    <w:p/>
    <w:p>
      <w:pPr>
        <w:spacing w:after="120"/>
      </w:pPr>
      <w:r>
        <w:rPr>
          <w:b/>
          <w:bCs/>
        </w:rPr>
        <w:t xml:space="preserve">DATA PROVIDED:</w:t>
      </w:r>
    </w:p>
    <w:p>
      <w:pPr>
        <w:pStyle w:val="ListParagraph"/>
        <w:numPr>
          <w:ilvl w:val="0"/>
          <w:numId w:val="2"/>
        </w:numPr>
        <w:spacing w:after="60"/>
      </w:pPr>
      <w:r>
        <w:t xml:space="preserve">By caregiver education: Larger effects for low-educated caregivers (+30pp vs +15pp high-educated)</w:t>
      </w:r>
    </w:p>
    <w:p>
      <w:pPr>
        <w:pStyle w:val="ListParagraph"/>
        <w:numPr>
          <w:ilvl w:val="0"/>
          <w:numId w:val="2"/>
        </w:numPr>
        <w:spacing w:after="60"/>
      </w:pPr>
      <w:r>
        <w:t xml:space="preserve">By baseline development: Larger effects for initially delayed children (+35pp vs +20pp on-track)</w:t>
      </w:r>
    </w:p>
    <w:p>
      <w:pPr>
        <w:pStyle w:val="ListParagraph"/>
        <w:numPr>
          <w:ilvl w:val="0"/>
          <w:numId w:val="2"/>
        </w:numPr>
        <w:spacing w:after="60"/>
      </w:pPr>
      <w:r>
        <w:t xml:space="preserve">By child gender: Similar effects for boys and girls</w:t>
      </w:r>
    </w:p>
    <w:p>
      <w:pPr>
        <w:pStyle w:val="ListParagraph"/>
        <w:numPr>
          <w:ilvl w:val="0"/>
          <w:numId w:val="2"/>
        </w:numPr>
        <w:spacing w:after="60"/>
      </w:pPr>
      <w:r>
        <w:t xml:space="preserve">By municipality type: Similar urban/peri-urban; slightly smaller rural (−5pp)</w:t>
      </w:r>
    </w:p>
    <w:p/>
    <w:p>
      <w:pPr>
        <w:spacing w:after="120"/>
      </w:pPr>
      <w:r>
        <w:rPr>
          <w:b/>
          <w:bCs/>
        </w:rPr>
        <w:t xml:space="preserve">ANSWER KEY:</w:t>
      </w:r>
    </w:p>
    <w:p>
      <w:r>
        <w:t xml:space="preserve">The program reduces inequality — larger effects for the most disadvantaged. This is a powerful equity finding. Qualitative evidence (Session 3) explains WHY: low-educated caregivers had the most to gain in knowledge; initially delayed children had the most developmental room. Rural areas may need adapted delivery (distances, fewer facilitators — Session 3 comparative cases can explain).</w:t>
      </w:r>
    </w:p>
    <w:p/>
    <w:p>
      <w:pPr>
        <w:spacing w:after="120"/>
      </w:pPr>
      <w:r>
        <w:rPr>
          <w:b/>
          <w:bCs/>
        </w:rPr>
        <w:t xml:space="preserve">KEY TAKEAWAY:</w:t>
      </w:r>
    </w:p>
    <w:p>
      <w:r>
        <w:t xml:space="preserve">Quantitative analysis tests ToC relationships statistically. Each analysis type (dose-response, mediation, timeline, comparison, heterogeneity) contributes independent evidence. Together with qualitative findings, they form the evidence base for contribution analysis in Session 5.</w:t>
      </w:r>
    </w:p>
    <w:p/>
    <w:p>
      <w:pPr>
        <w:pStyle w:val="Heading2"/>
      </w:pPr>
      <w:r>
        <w:t xml:space="preserve">Connection to Next Session</w:t>
      </w:r>
    </w:p>
    <w:p>
      <w:pPr>
        <w:pStyle w:val="ListParagraph"/>
        <w:numPr>
          <w:ilvl w:val="0"/>
          <w:numId w:val="2"/>
        </w:numPr>
        <w:spacing w:after="60"/>
      </w:pPr>
      <w:r>
        <w:rPr>
          <w:b/>
          <w:bCs/>
        </w:rPr>
        <w:t xml:space="preserve">Session 5: </w:t>
      </w:r>
      <w:r>
        <w:t xml:space="preserve">Synthesize ALL evidence (Sessions 1–4) into a contribution claim and communicate to decision-makers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color w:val="999999"/>
        <w:sz w:val="16"/>
        <w:szCs w:val="16"/>
      </w:rPr>
      <w:t xml:space="preserve">Prepared for Inter-American Development Bank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color w:val="999999"/>
        <w:sz w:val="16"/>
        <w:szCs w:val="16"/>
      </w:rPr>
      <w:t xml:space="preserve">EVALAC I — Cheat Sheet — Session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240" w:after="120"/>
      <w:outlineLvl w:val="1"/>
    </w:pPr>
    <w:rPr>
      <w:rFonts w:ascii="Calibri" w:cs="Calibri" w:eastAsia="Calibri" w:hAnsi="Calibri"/>
      <w:b/>
      <w:bCs/>
      <w:color w:val="2E75B6"/>
      <w:sz w:val="24"/>
      <w:szCs w:val="24"/>
    </w:rPr>
  </w:style>
  <w:style w:type="paragraph" w:styleId="Heading3">
    <w:name w:val="Heading 3"/>
    <w:basedOn w:val="Normal"/>
    <w:next w:val="Normal"/>
    <w:qFormat/>
    <w:pPr>
      <w:spacing w:before="200" w:after="1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2026-02-27T20:37:36.550Z</dcterms:created>
  <dcterms:modified xsi:type="dcterms:W3CDTF">2026-02-27T20:37:36.550Z</dcterms:modified>
</cp:coreProperties>
</file>

<file path=docProps/custom.xml><?xml version="1.0" encoding="utf-8"?>
<Properties xmlns="http://schemas.openxmlformats.org/officeDocument/2006/custom-properties" xmlns:vt="http://schemas.openxmlformats.org/officeDocument/2006/docPropsVTypes"/>
</file>