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Calibri" w:cs="Calibri" w:eastAsia="Calibri" w:hAnsi="Calibri"/>
          <w:b/>
          <w:bCs/>
          <w:color w:val="1F3864"/>
          <w:sz w:val="28"/>
          <w:szCs w:val="28"/>
        </w:rPr>
        <w:t xml:space="preserve">EVALAC I — CHECK-IN MEETING</w:t>
      </w:r>
    </w:p>
    <w:p>
      <w:pPr>
        <w:spacing w:after="200"/>
        <w:jc w:val="center"/>
      </w:pPr>
      <w:r>
        <w:rPr>
          <w:rFonts w:ascii="Calibri" w:cs="Calibri" w:eastAsia="Calibri" w:hAnsi="Calibri"/>
          <w:color w:val="2E75B6"/>
          <w:sz w:val="26"/>
          <w:szCs w:val="26"/>
        </w:rPr>
        <w:t xml:space="preserve">Response Notes and Suggested Actions</w:t>
      </w:r>
    </w:p>
    <w:p>
      <w:pPr>
        <w:spacing w:after="600"/>
        <w:jc w:val="center"/>
      </w:pPr>
      <w:r>
        <w:rPr>
          <w:rFonts w:ascii="Calibri" w:cs="Calibri" w:eastAsia="Calibri" w:hAnsi="Calibri"/>
          <w:i/>
          <w:iCs/>
          <w:color w:val="666666"/>
        </w:rPr>
        <w:t xml:space="preserve">March 4, 2026</w:t>
      </w:r>
    </w:p>
    <w:p>
      <w:pPr>
        <w:pStyle w:val="Heading1"/>
      </w:pPr>
      <w:r>
        <w:t xml:space="preserve">03 — CASE STUDY NARRATIVE</w:t>
      </w:r>
    </w:p>
    <w:p>
      <w:pPr>
        <w:pStyle w:val="Heading2"/>
      </w:pPr>
      <w:r>
        <w:t xml:space="preserve">Dividing narrative into sections / handouts</w:t>
      </w:r>
    </w:p>
    <w:p>
      <w:pPr>
        <w:spacing w:before="60" w:after="60"/>
      </w:pPr>
      <w:r>
        <w:rPr>
          <w:rFonts w:ascii="Calibri" w:cs="Calibri" w:eastAsia="Calibri" w:hAnsi="Calibri"/>
          <w:i/>
          <w:iCs/>
          <w:color w:val="555555"/>
        </w:rPr>
        <w:t xml:space="preserve">"Content is too long and people will have trouble reading. Divide into sections delivered as part of slides or as increasing handouts."</w:t>
      </w:r>
    </w:p>
    <w:p>
      <w:pPr>
        <w:spacing w:after="120"/>
      </w:pPr>
      <w:r>
        <w:rPr>
          <w:rFonts w:ascii="Calibri" w:cs="Calibri" w:eastAsia="Calibri" w:hAnsi="Calibri"/>
        </w:rPr>
        <w:t xml:space="preserve">We agree. Our suggested approach:</w:t>
      </w:r>
    </w:p>
    <w:p>
      <w:pPr>
        <w:pStyle w:val="ListParagraph"/>
        <w:numPr>
          <w:ilvl w:val="0"/>
          <w:numId w:val="2"/>
        </w:numPr>
        <w:spacing w:after="60"/>
      </w:pPr>
      <w:r>
        <w:rPr>
          <w:rFonts w:ascii="Calibri" w:cs="Calibri" w:eastAsia="Calibri" w:hAnsi="Calibri"/>
          <w:b/>
          <w:bCs/>
        </w:rPr>
        <w:t xml:space="preserve">Progressive disclosure: </w:t>
      </w:r>
      <w:r>
        <w:rPr>
          <w:rFonts w:ascii="Calibri" w:cs="Calibri" w:eastAsia="Calibri" w:hAnsi="Calibri"/>
        </w:rPr>
        <w:t xml:space="preserve">Participants receive narrative sections tied to each exercise, not the full document at once. Each exercise already includes a “Narrative Reference” tag telling participants exactly which section to read (e.g., “Read: Family Listening Sessions + Evidence-Informed Program Design”).</w:t>
      </w:r>
    </w:p>
    <w:p>
      <w:pPr>
        <w:pStyle w:val="ListParagraph"/>
        <w:numPr>
          <w:ilvl w:val="0"/>
          <w:numId w:val="2"/>
        </w:numPr>
        <w:spacing w:after="60"/>
      </w:pPr>
      <w:r>
        <w:rPr>
          <w:rFonts w:ascii="Calibri" w:cs="Calibri" w:eastAsia="Calibri" w:hAnsi="Calibri"/>
          <w:b/>
          <w:bCs/>
        </w:rPr>
        <w:t xml:space="preserve">Slide integration: </w:t>
      </w:r>
      <w:r>
        <w:rPr>
          <w:rFonts w:ascii="Calibri" w:cs="Calibri" w:eastAsia="Calibri" w:hAnsi="Calibri"/>
        </w:rPr>
        <w:t xml:space="preserve">Key narrative moments (e.g., family listening sessions, political context) can be embedded in the expository slides as setup before each exercise block. This way participants absorb context visually before diving into the exercise.</w:t>
      </w:r>
    </w:p>
    <w:p>
      <w:pPr>
        <w:pStyle w:val="ListParagraph"/>
        <w:numPr>
          <w:ilvl w:val="0"/>
          <w:numId w:val="2"/>
        </w:numPr>
        <w:spacing w:after="60"/>
      </w:pPr>
      <w:r>
        <w:rPr>
          <w:rFonts w:ascii="Calibri" w:cs="Calibri" w:eastAsia="Calibri" w:hAnsi="Calibri"/>
          <w:b/>
          <w:bCs/>
        </w:rPr>
        <w:t xml:space="preserve">Design formatting: </w:t>
      </w:r>
      <w:r>
        <w:rPr>
          <w:rFonts w:ascii="Calibri" w:cs="Calibri" w:eastAsia="Calibri" w:hAnsi="Calibri"/>
        </w:rPr>
        <w:t xml:space="preserve">The narrative document itself can be reformatted with clear section breaks and visual markers that align with slide sequence, making it easy to extract handout portions.</w:t>
      </w:r>
    </w:p>
    <w:p>
      <w:pPr>
        <w:spacing w:after="120"/>
      </w:pPr>
      <w:r>
        <w:rPr>
          <w:rFonts w:ascii="Calibri" w:cs="Calibri" w:eastAsia="Calibri" w:hAnsi="Calibri"/>
          <w:b/>
          <w:bCs/>
        </w:rPr>
        <w:t xml:space="preserve">Action: </w:t>
      </w:r>
      <w:r>
        <w:rPr>
          <w:rFonts w:ascii="Calibri" w:cs="Calibri" w:eastAsia="Calibri" w:hAnsi="Calibri"/>
        </w:rPr>
        <w:t xml:space="preserve">When we develop the Session 1 slides, we’ll prototype the progressive handout approach and test whether the reading load feels manageable.</w:t>
      </w:r>
    </w:p>
    <w:p/>
    <w:p>
      <w:pPr>
        <w:pStyle w:val="Heading2"/>
      </w:pPr>
      <w:r>
        <w:t xml:space="preserve">Linking components to ministries</w:t>
      </w:r>
    </w:p>
    <w:p>
      <w:pPr>
        <w:spacing w:before="60" w:after="60"/>
      </w:pPr>
      <w:r>
        <w:rPr>
          <w:rFonts w:ascii="Calibri" w:cs="Calibri" w:eastAsia="Calibri" w:hAnsi="Calibri"/>
          <w:i/>
          <w:iCs/>
          <w:color w:val="555555"/>
        </w:rPr>
        <w:t xml:space="preserve">"The components could be linked to the Ministries that implement them accordingly."</w:t>
      </w:r>
    </w:p>
    <w:p>
      <w:pPr>
        <w:spacing w:after="120"/>
      </w:pPr>
      <w:r>
        <w:rPr>
          <w:rFonts w:ascii="Calibri" w:cs="Calibri" w:eastAsia="Calibri" w:hAnsi="Calibri"/>
        </w:rPr>
        <w:t xml:space="preserve">Great suggestion. The narrative already mentions which ministry leads each component, but we can make this explicit and systematic:</w:t>
      </w:r>
    </w:p>
    <w:p>
      <w:pPr>
        <w:pStyle w:val="ListParagraph"/>
        <w:numPr>
          <w:ilvl w:val="0"/>
          <w:numId w:val="2"/>
        </w:numPr>
        <w:spacing w:after="60"/>
      </w:pPr>
      <w:r>
        <w:rPr>
          <w:rFonts w:ascii="Calibri" w:cs="Calibri" w:eastAsia="Calibri" w:hAnsi="Calibri"/>
        </w:rPr>
        <w:t xml:space="preserve">Component 1 (Parenting Groups) → Ministry of Social Development</w:t>
      </w:r>
    </w:p>
    <w:p>
      <w:pPr>
        <w:pStyle w:val="ListParagraph"/>
        <w:numPr>
          <w:ilvl w:val="0"/>
          <w:numId w:val="2"/>
        </w:numPr>
        <w:spacing w:after="60"/>
      </w:pPr>
      <w:r>
        <w:rPr>
          <w:rFonts w:ascii="Calibri" w:cs="Calibri" w:eastAsia="Calibri" w:hAnsi="Calibri"/>
        </w:rPr>
        <w:t xml:space="preserve">Component 2 (Home Visits) → Ministry of Social Development + Health (joint)</w:t>
      </w:r>
    </w:p>
    <w:p>
      <w:pPr>
        <w:pStyle w:val="ListParagraph"/>
        <w:numPr>
          <w:ilvl w:val="0"/>
          <w:numId w:val="2"/>
        </w:numPr>
        <w:spacing w:after="60"/>
      </w:pPr>
      <w:r>
        <w:rPr>
          <w:rFonts w:ascii="Calibri" w:cs="Calibri" w:eastAsia="Calibri" w:hAnsi="Calibri"/>
        </w:rPr>
        <w:t xml:space="preserve">Component 3 (Health Integration) → Ministry of Health</w:t>
      </w:r>
    </w:p>
    <w:p>
      <w:pPr>
        <w:pStyle w:val="ListParagraph"/>
        <w:numPr>
          <w:ilvl w:val="0"/>
          <w:numId w:val="2"/>
        </w:numPr>
        <w:spacing w:after="60"/>
      </w:pPr>
      <w:r>
        <w:rPr>
          <w:rFonts w:ascii="Calibri" w:cs="Calibri" w:eastAsia="Calibri" w:hAnsi="Calibri"/>
        </w:rPr>
        <w:t xml:space="preserve">Component 4 (Early Learning Centers) → Ministry of Education</w:t>
      </w:r>
    </w:p>
    <w:p>
      <w:pPr>
        <w:spacing w:after="120"/>
      </w:pPr>
      <w:r>
        <w:rPr>
          <w:rFonts w:ascii="Calibri" w:cs="Calibri" w:eastAsia="Calibri" w:hAnsi="Calibri"/>
          <w:b/>
          <w:bCs/>
        </w:rPr>
        <w:t xml:space="preserve">Action: </w:t>
      </w:r>
      <w:r>
        <w:rPr>
          <w:rFonts w:ascii="Calibri" w:cs="Calibri" w:eastAsia="Calibri" w:hAnsi="Calibri"/>
        </w:rPr>
        <w:t xml:space="preserve">Add a clear ministry-component mapping table to the narrative and reference it in the ToC. This enriches the coordination complexity for Sessions 3–5 where participants investigate why inter-ministerial handoffs fail.</w:t>
      </w:r>
    </w:p>
    <w:p/>
    <w:p>
      <w:pPr>
        <w:pStyle w:val="Heading2"/>
      </w:pPr>
      <w:r>
        <w:t xml:space="preserve">Positive feedback</w:t>
      </w:r>
    </w:p>
    <w:p>
      <w:pPr>
        <w:spacing w:before="60" w:after="60"/>
      </w:pPr>
      <w:r>
        <w:rPr>
          <w:rFonts w:ascii="Calibri" w:cs="Calibri" w:eastAsia="Calibri" w:hAnsi="Calibri"/>
          <w:i/>
          <w:iCs/>
          <w:color w:val="555555"/>
        </w:rPr>
        <w:t xml:space="preserve">"Loved the political context and the explanations on Budget and political interests."</w:t>
      </w:r>
    </w:p>
    <w:p>
      <w:pPr>
        <w:spacing w:after="120"/>
      </w:pPr>
      <w:r>
        <w:rPr>
          <w:rFonts w:ascii="Calibri" w:cs="Calibri" w:eastAsia="Calibri" w:hAnsi="Calibri"/>
        </w:rPr>
        <w:t xml:space="preserve">Noted — we’ll preserve this tone and level of institutional realism throughout.</w:t>
      </w:r>
    </w:p>
    <w:p/>
    <w:p>
      <w:pPr>
        <w:pStyle w:val="Heading1"/>
      </w:pPr>
      <w:r>
        <w:t xml:space="preserve">04 — THEORY OF CHANGE</w:t>
      </w:r>
    </w:p>
    <w:p>
      <w:pPr>
        <w:pStyle w:val="Heading2"/>
      </w:pPr>
      <w:r>
        <w:t xml:space="preserve">"Risks if Violated," "Evidence Supporting," "Monitoring," and "Mitigation"</w:t>
      </w:r>
    </w:p>
    <w:p>
      <w:pPr>
        <w:spacing w:before="60" w:after="60"/>
      </w:pPr>
      <w:r>
        <w:rPr>
          <w:rFonts w:ascii="Calibri" w:cs="Calibri" w:eastAsia="Calibri" w:hAnsi="Calibri"/>
          <w:i/>
          <w:iCs/>
          <w:color w:val="555555"/>
        </w:rPr>
        <w:t xml:space="preserve">"How is it expected to approach or better use advantageously these sections? Evidence Supporting seems singularly unrelated to the case study."</w:t>
      </w:r>
    </w:p>
    <w:p>
      <w:pPr>
        <w:spacing w:after="120"/>
      </w:pPr>
      <w:r>
        <w:rPr>
          <w:rFonts w:ascii="Calibri" w:cs="Calibri" w:eastAsia="Calibri" w:hAnsi="Calibri"/>
        </w:rPr>
        <w:t xml:space="preserve">These sections serve different audiences and moments:</w:t>
      </w:r>
    </w:p>
    <w:p>
      <w:pPr>
        <w:pStyle w:val="ListParagraph"/>
        <w:numPr>
          <w:ilvl w:val="0"/>
          <w:numId w:val="2"/>
        </w:numPr>
        <w:spacing w:after="60"/>
      </w:pPr>
      <w:r>
        <w:rPr>
          <w:rFonts w:ascii="Calibri" w:cs="Calibri" w:eastAsia="Calibri" w:hAnsi="Calibri"/>
          <w:b/>
          <w:bCs/>
        </w:rPr>
        <w:t xml:space="preserve">For instructors (preparation): </w:t>
      </w:r>
      <w:r>
        <w:rPr>
          <w:rFonts w:ascii="Calibri" w:cs="Calibri" w:eastAsia="Calibri" w:hAnsi="Calibri"/>
        </w:rPr>
        <w:t xml:space="preserve">The full ToC document is an instructor reference. “Evidence Supporting” gives facilitators confidence that the case assumptions are grounded in real research, even though participants don’t see this directly.</w:t>
      </w:r>
    </w:p>
    <w:p>
      <w:pPr>
        <w:pStyle w:val="ListParagraph"/>
        <w:numPr>
          <w:ilvl w:val="0"/>
          <w:numId w:val="2"/>
        </w:numPr>
        <w:spacing w:after="60"/>
      </w:pPr>
      <w:r>
        <w:rPr>
          <w:rFonts w:ascii="Calibri" w:cs="Calibri" w:eastAsia="Calibri" w:hAnsi="Calibri"/>
          <w:b/>
          <w:bCs/>
        </w:rPr>
        <w:t xml:space="preserve">For exercises (Sessions 1 &amp; 3–5): </w:t>
      </w:r>
      <w:r>
        <w:rPr>
          <w:rFonts w:ascii="Calibri" w:cs="Calibri" w:eastAsia="Calibri" w:hAnsi="Calibri"/>
        </w:rPr>
        <w:t xml:space="preserve">“Risks if Violated” feeds directly into the assumption exercises (Session 1, Ex 4) and qualitative investigation design (Session 3). Participants identify risks first, then design methods to test them.</w:t>
      </w:r>
    </w:p>
    <w:p>
      <w:pPr>
        <w:pStyle w:val="ListParagraph"/>
        <w:numPr>
          <w:ilvl w:val="0"/>
          <w:numId w:val="2"/>
        </w:numPr>
        <w:spacing w:after="60"/>
      </w:pPr>
      <w:r>
        <w:rPr>
          <w:rFonts w:ascii="Calibri" w:cs="Calibri" w:eastAsia="Calibri" w:hAnsi="Calibri"/>
          <w:b/>
          <w:bCs/>
        </w:rPr>
        <w:t xml:space="preserve">For slides: </w:t>
      </w:r>
      <w:r>
        <w:rPr>
          <w:rFonts w:ascii="Calibri" w:cs="Calibri" w:eastAsia="Calibri" w:hAnsi="Calibri"/>
        </w:rPr>
        <w:t xml:space="preserve">“Monitoring” indicators can appear in Session 2 slides as examples when building the Results Matrix. “Mitigation” strategies can surface in Session 5 when discussing implications for program management.</w:t>
      </w:r>
    </w:p>
    <w:p>
      <w:pPr>
        <w:spacing w:after="120"/>
      </w:pPr>
      <w:r>
        <w:rPr>
          <w:rFonts w:ascii="Calibri" w:cs="Calibri" w:eastAsia="Calibri" w:hAnsi="Calibri"/>
          <w:b/>
          <w:bCs/>
        </w:rPr>
        <w:t xml:space="preserve">Suggestion: </w:t>
      </w:r>
      <w:r>
        <w:rPr>
          <w:rFonts w:ascii="Calibri" w:cs="Calibri" w:eastAsia="Calibri" w:hAnsi="Calibri"/>
        </w:rPr>
        <w:t xml:space="preserve">We can add a brief “How to Use This Document” note at the top of the ToC explaining which sections map to which session, so the instructor knows exactly when each piece becomes relevant.</w:t>
      </w:r>
    </w:p>
    <w:p/>
    <w:p>
      <w:pPr>
        <w:pStyle w:val="Heading2"/>
      </w:pPr>
      <w:r>
        <w:t xml:space="preserve">"Why It Might Fail" content</w:t>
      </w:r>
    </w:p>
    <w:p>
      <w:pPr>
        <w:spacing w:before="60" w:after="60"/>
      </w:pPr>
      <w:r>
        <w:rPr>
          <w:rFonts w:ascii="Calibri" w:cs="Calibri" w:eastAsia="Calibri" w:hAnsi="Calibri"/>
          <w:i/>
          <w:iCs/>
          <w:color w:val="555555"/>
        </w:rPr>
        <w:t xml:space="preserve">"How is it suggested to use the ‘Why it might fail’ content?"</w:t>
      </w:r>
    </w:p>
    <w:p>
      <w:pPr>
        <w:spacing w:after="120"/>
      </w:pPr>
      <w:r>
        <w:rPr>
          <w:rFonts w:ascii="Calibri" w:cs="Calibri" w:eastAsia="Calibri" w:hAnsi="Calibri"/>
        </w:rPr>
        <w:t xml:space="preserve">This is designed as the pedagogical engine for Sessions 3–5:</w:t>
      </w:r>
    </w:p>
    <w:p>
      <w:pPr>
        <w:pStyle w:val="ListParagraph"/>
        <w:numPr>
          <w:ilvl w:val="0"/>
          <w:numId w:val="2"/>
        </w:numPr>
        <w:spacing w:after="60"/>
      </w:pPr>
      <w:r>
        <w:rPr>
          <w:rFonts w:ascii="Calibri" w:cs="Calibri" w:eastAsia="Calibri" w:hAnsi="Calibri"/>
          <w:b/>
          <w:bCs/>
        </w:rPr>
        <w:t xml:space="preserve">Session 3 (Qualitative): </w:t>
      </w:r>
      <w:r>
        <w:rPr>
          <w:rFonts w:ascii="Calibri" w:cs="Calibri" w:eastAsia="Calibri" w:hAnsi="Calibri"/>
        </w:rPr>
        <w:t xml:space="preserve">Participants design qualitative investigations specifically to explore WHY things might fail — the “Why it might fail” items become their research questions.</w:t>
      </w:r>
    </w:p>
    <w:p>
      <w:pPr>
        <w:pStyle w:val="ListParagraph"/>
        <w:numPr>
          <w:ilvl w:val="0"/>
          <w:numId w:val="2"/>
        </w:numPr>
        <w:spacing w:after="60"/>
      </w:pPr>
      <w:r>
        <w:rPr>
          <w:rFonts w:ascii="Calibri" w:cs="Calibri" w:eastAsia="Calibri" w:hAnsi="Calibri"/>
          <w:b/>
          <w:bCs/>
        </w:rPr>
        <w:t xml:space="preserve">Session 4 (Quantitative): </w:t>
      </w:r>
      <w:r>
        <w:rPr>
          <w:rFonts w:ascii="Calibri" w:cs="Calibri" w:eastAsia="Calibri" w:hAnsi="Calibri"/>
        </w:rPr>
        <w:t xml:space="preserve">Dose-response and heterogeneity analyses test whether the failures are happening in practice (e.g., do areas with high facilitator turnover show weaker results?).</w:t>
      </w:r>
    </w:p>
    <w:p>
      <w:pPr>
        <w:pStyle w:val="ListParagraph"/>
        <w:numPr>
          <w:ilvl w:val="0"/>
          <w:numId w:val="2"/>
        </w:numPr>
        <w:spacing w:after="60"/>
      </w:pPr>
      <w:r>
        <w:rPr>
          <w:rFonts w:ascii="Calibri" w:cs="Calibri" w:eastAsia="Calibri" w:hAnsi="Calibri"/>
          <w:b/>
          <w:bCs/>
        </w:rPr>
        <w:t xml:space="preserve">Session 5 (Synthesis): </w:t>
      </w:r>
      <w:r>
        <w:rPr>
          <w:rFonts w:ascii="Calibri" w:cs="Calibri" w:eastAsia="Calibri" w:hAnsi="Calibri"/>
        </w:rPr>
        <w:t xml:space="preserve">Participants assess which “failure modes” actually materialized and what that means for the contribution claim.</w:t>
      </w:r>
    </w:p>
    <w:p>
      <w:pPr>
        <w:spacing w:after="120"/>
      </w:pPr>
      <w:r>
        <w:rPr>
          <w:rFonts w:ascii="Calibri" w:cs="Calibri" w:eastAsia="Calibri" w:hAnsi="Calibri"/>
          <w:b/>
          <w:bCs/>
        </w:rPr>
        <w:t xml:space="preserve">Action: </w:t>
      </w:r>
      <w:r>
        <w:rPr>
          <w:rFonts w:ascii="Calibri" w:cs="Calibri" w:eastAsia="Calibri" w:hAnsi="Calibri"/>
        </w:rPr>
        <w:t xml:space="preserve">Make this pedagogical pathway explicit in the slides, showing participants how “Why it might fail” transforms into testable hypotheses across sessions.</w:t>
      </w:r>
    </w:p>
    <w:p/>
    <w:p>
      <w:pPr>
        <w:pStyle w:val="Heading1"/>
      </w:pPr>
      <w:r>
        <w:t xml:space="preserve">05 — MONITORING SYSTEM</w:t>
      </w:r>
    </w:p>
    <w:p>
      <w:pPr>
        <w:pStyle w:val="Heading2"/>
      </w:pPr>
      <w:r>
        <w:t xml:space="preserve">Three Tiers approach</w:t>
      </w:r>
    </w:p>
    <w:p>
      <w:pPr>
        <w:spacing w:before="60" w:after="60"/>
      </w:pPr>
      <w:r>
        <w:rPr>
          <w:rFonts w:ascii="Calibri" w:cs="Calibri" w:eastAsia="Calibri" w:hAnsi="Calibri"/>
          <w:i/>
          <w:iCs/>
          <w:color w:val="555555"/>
        </w:rPr>
        <w:t xml:space="preserve">"Clarification is needed regarding the Three Tiers approach."</w:t>
      </w:r>
    </w:p>
    <w:p>
      <w:pPr>
        <w:spacing w:after="120"/>
      </w:pPr>
      <w:r>
        <w:rPr>
          <w:rFonts w:ascii="Calibri" w:cs="Calibri" w:eastAsia="Calibri" w:hAnsi="Calibri"/>
        </w:rPr>
        <w:t xml:space="preserve">The three tiers reflect a realistic hierarchy of what gets measured and when:</w:t>
      </w:r>
    </w:p>
    <w:p>
      <w:pPr>
        <w:pStyle w:val="ListParagraph"/>
        <w:numPr>
          <w:ilvl w:val="0"/>
          <w:numId w:val="2"/>
        </w:numPr>
        <w:spacing w:after="60"/>
      </w:pPr>
      <w:r>
        <w:rPr>
          <w:rFonts w:ascii="Calibri" w:cs="Calibri" w:eastAsia="Calibri" w:hAnsi="Calibri"/>
          <w:b/>
          <w:bCs/>
        </w:rPr>
        <w:t xml:space="preserve">Tier 1 — Implementation Fidelity: </w:t>
      </w:r>
      <w:r>
        <w:rPr>
          <w:rFonts w:ascii="Calibri" w:cs="Calibri" w:eastAsia="Calibri" w:hAnsi="Calibri"/>
        </w:rPr>
        <w:t xml:space="preserve">Are we delivering as designed? (real-time to monthly — operational management)</w:t>
      </w:r>
    </w:p>
    <w:p>
      <w:pPr>
        <w:pStyle w:val="ListParagraph"/>
        <w:numPr>
          <w:ilvl w:val="0"/>
          <w:numId w:val="2"/>
        </w:numPr>
        <w:spacing w:after="60"/>
      </w:pPr>
      <w:r>
        <w:rPr>
          <w:rFonts w:ascii="Calibri" w:cs="Calibri" w:eastAsia="Calibri" w:hAnsi="Calibri"/>
          <w:b/>
          <w:bCs/>
        </w:rPr>
        <w:t xml:space="preserve">Tier 2 — Behavioral Change: </w:t>
      </w:r>
      <w:r>
        <w:rPr>
          <w:rFonts w:ascii="Calibri" w:cs="Calibri" w:eastAsia="Calibri" w:hAnsi="Calibri"/>
        </w:rPr>
        <w:t xml:space="preserve">Are caregivers changing? (quarterly — mechanism testing for contribution analysis)</w:t>
      </w:r>
    </w:p>
    <w:p>
      <w:pPr>
        <w:pStyle w:val="ListParagraph"/>
        <w:numPr>
          <w:ilvl w:val="0"/>
          <w:numId w:val="2"/>
        </w:numPr>
        <w:spacing w:after="60"/>
      </w:pPr>
      <w:r>
        <w:rPr>
          <w:rFonts w:ascii="Calibri" w:cs="Calibri" w:eastAsia="Calibri" w:hAnsi="Calibri"/>
          <w:b/>
          <w:bCs/>
        </w:rPr>
        <w:t xml:space="preserve">Tier 3 — Child Outcomes: </w:t>
      </w:r>
      <w:r>
        <w:rPr>
          <w:rFonts w:ascii="Calibri" w:cs="Calibri" w:eastAsia="Calibri" w:hAnsi="Calibri"/>
        </w:rPr>
        <w:t xml:space="preserve">Are children developing? (biannual — outcome measurement)</w:t>
      </w:r>
    </w:p>
    <w:p>
      <w:pPr>
        <w:spacing w:after="120"/>
      </w:pPr>
      <w:r>
        <w:rPr>
          <w:rFonts w:ascii="Calibri" w:cs="Calibri" w:eastAsia="Calibri" w:hAnsi="Calibri"/>
        </w:rPr>
        <w:t xml:space="preserve">The tiers map directly to the ToC levels: Tier 1 = outputs, Tier 2 = behavioral outcomes, Tier 3 = final outcomes. This is intentional — it shows participants that monitoring and evaluation are not separate activities but the same evidence chain at different frequencies.</w:t>
      </w:r>
    </w:p>
    <w:p>
      <w:pPr>
        <w:spacing w:after="120"/>
      </w:pPr>
      <w:r>
        <w:rPr>
          <w:rFonts w:ascii="Calibri" w:cs="Calibri" w:eastAsia="Calibri" w:hAnsi="Calibri"/>
          <w:b/>
          <w:bCs/>
        </w:rPr>
        <w:t xml:space="preserve">Action: </w:t>
      </w:r>
      <w:r>
        <w:rPr>
          <w:rFonts w:ascii="Calibri" w:cs="Calibri" w:eastAsia="Calibri" w:hAnsi="Calibri"/>
        </w:rPr>
        <w:t xml:space="preserve">The Session 2 slides should include a visual showing how the three tiers map to the ToC results chain, making the connection explicit.</w:t>
      </w:r>
    </w:p>
    <w:p/>
    <w:p>
      <w:pPr>
        <w:pStyle w:val="Heading2"/>
      </w:pPr>
      <w:r>
        <w:t xml:space="preserve">Contribution Analysis integration and slide alignment</w:t>
      </w:r>
    </w:p>
    <w:p>
      <w:pPr>
        <w:spacing w:before="60" w:after="60"/>
      </w:pPr>
      <w:r>
        <w:rPr>
          <w:rFonts w:ascii="Calibri" w:cs="Calibri" w:eastAsia="Calibri" w:hAnsi="Calibri"/>
          <w:i/>
          <w:iCs/>
          <w:color w:val="555555"/>
        </w:rPr>
        <w:t xml:space="preserve">"Are there observations already identified for slide content to better align?"</w:t>
      </w:r>
    </w:p>
    <w:p>
      <w:pPr>
        <w:spacing w:after="120"/>
      </w:pPr>
      <w:r>
        <w:rPr>
          <w:rFonts w:ascii="Calibri" w:cs="Calibri" w:eastAsia="Calibri" w:hAnsi="Calibri"/>
        </w:rPr>
        <w:t xml:space="preserve">Yes, key alignment points for slides:</w:t>
      </w:r>
    </w:p>
    <w:p>
      <w:pPr>
        <w:pStyle w:val="ListParagraph"/>
        <w:numPr>
          <w:ilvl w:val="0"/>
          <w:numId w:val="2"/>
        </w:numPr>
        <w:spacing w:after="60"/>
      </w:pPr>
      <w:r>
        <w:rPr>
          <w:rFonts w:ascii="Calibri" w:cs="Calibri" w:eastAsia="Calibri" w:hAnsi="Calibri"/>
        </w:rPr>
        <w:t xml:space="preserve">Session 2 slides should show how Tier 2 indicators (behavioral change) are the bridge between monitoring and contribution analysis</w:t>
      </w:r>
    </w:p>
    <w:p>
      <w:pPr>
        <w:pStyle w:val="ListParagraph"/>
        <w:numPr>
          <w:ilvl w:val="0"/>
          <w:numId w:val="2"/>
        </w:numPr>
        <w:spacing w:after="60"/>
      </w:pPr>
      <w:r>
        <w:rPr>
          <w:rFonts w:ascii="Calibri" w:cs="Calibri" w:eastAsia="Calibri" w:hAnsi="Calibri"/>
        </w:rPr>
        <w:t xml:space="preserve">Session 3 slides should reference specific Tier 2 indicators when designing qualitative investigations</w:t>
      </w:r>
    </w:p>
    <w:p>
      <w:pPr>
        <w:pStyle w:val="ListParagraph"/>
        <w:numPr>
          <w:ilvl w:val="0"/>
          <w:numId w:val="2"/>
        </w:numPr>
        <w:spacing w:after="60"/>
      </w:pPr>
      <w:r>
        <w:rPr>
          <w:rFonts w:ascii="Calibri" w:cs="Calibri" w:eastAsia="Calibri" w:hAnsi="Calibri"/>
        </w:rPr>
        <w:t xml:space="preserve">Session 5 slides should demonstrate how data from all three tiers feeds into the contribution story</w:t>
      </w:r>
    </w:p>
    <w:p>
      <w:pPr>
        <w:spacing w:after="120"/>
      </w:pPr>
      <w:r>
        <w:rPr>
          <w:rFonts w:ascii="Calibri" w:cs="Calibri" w:eastAsia="Calibri" w:hAnsi="Calibri"/>
          <w:b/>
          <w:bCs/>
        </w:rPr>
        <w:t xml:space="preserve">Action: </w:t>
      </w:r>
      <w:r>
        <w:rPr>
          <w:rFonts w:ascii="Calibri" w:cs="Calibri" w:eastAsia="Calibri" w:hAnsi="Calibri"/>
        </w:rPr>
        <w:t xml:space="preserve">As we build each session’s slides, we’ll include explicit cross-references to the monitoring tiers so participants see the cumulative logic.</w:t>
      </w:r>
    </w:p>
    <w:p/>
    <w:p>
      <w:pPr>
        <w:pStyle w:val="Heading1"/>
      </w:pPr>
      <w:r>
        <w:t xml:space="preserve">06 — CHEAT SHEET: SESSION 1</w:t>
      </w:r>
    </w:p>
    <w:p>
      <w:pPr>
        <w:pStyle w:val="Heading2"/>
      </w:pPr>
      <w:r>
        <w:t xml:space="preserve">Benefit of dividing behaviors by actor</w:t>
      </w:r>
    </w:p>
    <w:p>
      <w:pPr>
        <w:spacing w:before="60" w:after="60"/>
      </w:pPr>
      <w:r>
        <w:rPr>
          <w:rFonts w:ascii="Calibri" w:cs="Calibri" w:eastAsia="Calibri" w:hAnsi="Calibri"/>
          <w:i/>
          <w:iCs/>
          <w:color w:val="555555"/>
        </w:rPr>
        <w:t xml:space="preserve">"What’s the benefit observed behind dividing behaviors to corresponding actors?"</w:t>
      </w:r>
    </w:p>
    <w:p>
      <w:pPr>
        <w:spacing w:after="120"/>
      </w:pPr>
      <w:r>
        <w:rPr>
          <w:rFonts w:ascii="Calibri" w:cs="Calibri" w:eastAsia="Calibri" w:hAnsi="Calibri"/>
        </w:rPr>
        <w:t xml:space="preserve">Three pedagogical reasons:</w:t>
      </w:r>
    </w:p>
    <w:p>
      <w:pPr>
        <w:pStyle w:val="ListParagraph"/>
        <w:numPr>
          <w:ilvl w:val="0"/>
          <w:numId w:val="2"/>
        </w:numPr>
        <w:spacing w:after="60"/>
      </w:pPr>
      <w:r>
        <w:rPr>
          <w:rFonts w:ascii="Calibri" w:cs="Calibri" w:eastAsia="Calibri" w:hAnsi="Calibri"/>
          <w:b/>
          <w:bCs/>
        </w:rPr>
        <w:t xml:space="preserve">Precision in the ToC: </w:t>
      </w:r>
      <w:r>
        <w:rPr>
          <w:rFonts w:ascii="Calibri" w:cs="Calibri" w:eastAsia="Calibri" w:hAnsi="Calibri"/>
        </w:rPr>
        <w:t xml:space="preserve">Generic ToCs say “services improve outcomes.” Actor-specific behaviors force participants to specify WHO does WHAT differently. This is the core of contribution analysis — if we can’t name the behavior, we can’t test the mechanism.</w:t>
      </w:r>
    </w:p>
    <w:p>
      <w:pPr>
        <w:pStyle w:val="ListParagraph"/>
        <w:numPr>
          <w:ilvl w:val="0"/>
          <w:numId w:val="2"/>
        </w:numPr>
        <w:spacing w:after="60"/>
      </w:pPr>
      <w:r>
        <w:rPr>
          <w:rFonts w:ascii="Calibri" w:cs="Calibri" w:eastAsia="Calibri" w:hAnsi="Calibri"/>
          <w:b/>
          <w:bCs/>
        </w:rPr>
        <w:t xml:space="preserve">Accountability mapping: </w:t>
      </w:r>
      <w:r>
        <w:rPr>
          <w:rFonts w:ascii="Calibri" w:cs="Calibri" w:eastAsia="Calibri" w:hAnsi="Calibri"/>
        </w:rPr>
        <w:t xml:space="preserve">In multi-ministry programs like Creciendo Juntos, each actor belongs to a different institutional chain. When results are weak, actor-specific behaviors let evaluators pinpoint WHERE the chain broke (facilitators? caregivers? health staff?).</w:t>
      </w:r>
    </w:p>
    <w:p>
      <w:pPr>
        <w:pStyle w:val="ListParagraph"/>
        <w:numPr>
          <w:ilvl w:val="0"/>
          <w:numId w:val="2"/>
        </w:numPr>
        <w:spacing w:after="60"/>
      </w:pPr>
      <w:r>
        <w:rPr>
          <w:rFonts w:ascii="Calibri" w:cs="Calibri" w:eastAsia="Calibri" w:hAnsi="Calibri"/>
          <w:b/>
          <w:bCs/>
        </w:rPr>
        <w:t xml:space="preserve">Measurement design: </w:t>
      </w:r>
      <w:r>
        <w:rPr>
          <w:rFonts w:ascii="Calibri" w:cs="Calibri" w:eastAsia="Calibri" w:hAnsi="Calibri"/>
        </w:rPr>
        <w:t xml:space="preserve">Different actors require different measurement approaches. Facilitator behaviors are observed; caregiver behaviors are self-reported and observed; child outcomes are assessed with standardized tools. This distinction is essential for Session 2 (indicators).</w:t>
      </w:r>
    </w:p>
    <w:p/>
    <w:p>
      <w:pPr>
        <w:pStyle w:val="Heading2"/>
      </w:pPr>
      <w:r>
        <w:t xml:space="preserve">Connection from Exercise 2 to Exercise 3</w:t>
      </w:r>
    </w:p>
    <w:p>
      <w:pPr>
        <w:spacing w:before="60" w:after="60"/>
      </w:pPr>
      <w:r>
        <w:rPr>
          <w:rFonts w:ascii="Calibri" w:cs="Calibri" w:eastAsia="Calibri" w:hAnsi="Calibri"/>
          <w:i/>
          <w:iCs/>
          <w:color w:val="555555"/>
        </w:rPr>
        <w:t xml:space="preserve">"How do we connect the behaviors identified and the subsequent exercise to construct the full ToC?"</w:t>
      </w:r>
    </w:p>
    <w:p>
      <w:pPr>
        <w:spacing w:after="120"/>
      </w:pPr>
      <w:r>
        <w:rPr>
          <w:rFonts w:ascii="Calibri" w:cs="Calibri" w:eastAsia="Calibri" w:hAnsi="Calibri"/>
        </w:rPr>
        <w:t xml:space="preserve">The connection is sequential and cumulative:</w:t>
      </w:r>
    </w:p>
    <w:p>
      <w:pPr>
        <w:pStyle w:val="ListParagraph"/>
        <w:numPr>
          <w:ilvl w:val="0"/>
          <w:numId w:val="2"/>
        </w:numPr>
        <w:spacing w:after="60"/>
      </w:pPr>
      <w:r>
        <w:rPr>
          <w:rFonts w:ascii="Calibri" w:cs="Calibri" w:eastAsia="Calibri" w:hAnsi="Calibri"/>
          <w:b/>
          <w:bCs/>
        </w:rPr>
        <w:t xml:space="preserve">Exercise 2 output: </w:t>
      </w:r>
      <w:r>
        <w:rPr>
          <w:rFonts w:ascii="Calibri" w:cs="Calibri" w:eastAsia="Calibri" w:hAnsi="Calibri"/>
        </w:rPr>
        <w:t xml:space="preserve">A list of observable, measurable behaviors for each actor (facilitators, caregivers, health staff). These are the “blocks” of the ToC.</w:t>
      </w:r>
    </w:p>
    <w:p>
      <w:pPr>
        <w:pStyle w:val="ListParagraph"/>
        <w:numPr>
          <w:ilvl w:val="0"/>
          <w:numId w:val="2"/>
        </w:numPr>
        <w:spacing w:after="60"/>
      </w:pPr>
      <w:r>
        <w:rPr>
          <w:rFonts w:ascii="Calibri" w:cs="Calibri" w:eastAsia="Calibri" w:hAnsi="Calibri"/>
          <w:b/>
          <w:bCs/>
        </w:rPr>
        <w:t xml:space="preserve">Exercise 3 task: </w:t>
      </w:r>
      <w:r>
        <w:rPr>
          <w:rFonts w:ascii="Calibri" w:cs="Calibri" w:eastAsia="Calibri" w:hAnsi="Calibri"/>
        </w:rPr>
        <w:t xml:space="preserve">Arrange these blocks into a causal chain — inputs → outputs → behavior change → outcomes. The facilitator guides step by step, asking participants to place their Exercise 2 behaviors into the chain.</w:t>
      </w:r>
    </w:p>
    <w:p>
      <w:pPr>
        <w:spacing w:after="120"/>
      </w:pPr>
      <w:r>
        <w:rPr>
          <w:rFonts w:ascii="Calibri" w:cs="Calibri" w:eastAsia="Calibri" w:hAnsi="Calibri"/>
          <w:b/>
          <w:bCs/>
        </w:rPr>
        <w:t xml:space="preserve">Suggestion: </w:t>
      </w:r>
      <w:r>
        <w:rPr>
          <w:rFonts w:ascii="Calibri" w:cs="Calibri" w:eastAsia="Calibri" w:hAnsi="Calibri"/>
        </w:rPr>
        <w:t xml:space="preserve">In the slides, we can show an empty ToC template at the start of Exercise 3 and progressively populate it with the behaviors identified in Exercise 2. This makes the connection visual and tangible.</w:t>
      </w:r>
    </w:p>
    <w:p/>
    <w:p>
      <w:pPr>
        <w:pStyle w:val="Heading2"/>
      </w:pPr>
      <w:r>
        <w:t xml:space="preserve">Positive feedback</w:t>
      </w:r>
    </w:p>
    <w:p>
      <w:pPr>
        <w:spacing w:before="60" w:after="60"/>
      </w:pPr>
      <w:r>
        <w:rPr>
          <w:rFonts w:ascii="Calibri" w:cs="Calibri" w:eastAsia="Calibri" w:hAnsi="Calibri"/>
          <w:i/>
          <w:iCs/>
          <w:color w:val="555555"/>
        </w:rPr>
        <w:t xml:space="preserve">"Loved the assumption construction explanation and Exercise 5."</w:t>
      </w:r>
    </w:p>
    <w:p>
      <w:pPr>
        <w:spacing w:after="120"/>
      </w:pPr>
      <w:r>
        <w:rPr>
          <w:rFonts w:ascii="Calibri" w:cs="Calibri" w:eastAsia="Calibri" w:hAnsi="Calibri"/>
        </w:rPr>
        <w:t xml:space="preserve">Noted. The IF/THEN/ASSUMING format and the contribution analysis preview are preserved.</w:t>
      </w:r>
    </w:p>
    <w:p/>
    <w:p>
      <w:pPr>
        <w:pStyle w:val="Heading1"/>
      </w:pPr>
      <w:r>
        <w:t xml:space="preserve">07 — CHEAT SHEET: SESSION 2</w:t>
      </w:r>
    </w:p>
    <w:p>
      <w:pPr>
        <w:pStyle w:val="Heading2"/>
      </w:pPr>
      <w:r>
        <w:t xml:space="preserve">Qualitative indicators and scales</w:t>
      </w:r>
    </w:p>
    <w:p>
      <w:pPr>
        <w:spacing w:before="60" w:after="60"/>
      </w:pPr>
      <w:r>
        <w:rPr>
          <w:rFonts w:ascii="Calibri" w:cs="Calibri" w:eastAsia="Calibri" w:hAnsi="Calibri"/>
          <w:i/>
          <w:iCs/>
          <w:color w:val="555555"/>
        </w:rPr>
        <w:t xml:space="preserve">"Introducing scales and other ways to approach qualitative indicators would be very useful. Would it be possible to discuss an example for the RM that integrated this concern?"</w:t>
      </w:r>
    </w:p>
    <w:p>
      <w:pPr>
        <w:spacing w:after="120"/>
      </w:pPr>
      <w:r>
        <w:rPr>
          <w:rFonts w:ascii="Calibri" w:cs="Calibri" w:eastAsia="Calibri" w:hAnsi="Calibri"/>
        </w:rPr>
        <w:t xml:space="preserve">Absolutely — this aligns with the EVALAC adjustment guide’s emphasis on structured qualitative approaches (rubrics, scales). We can:</w:t>
      </w:r>
    </w:p>
    <w:p>
      <w:pPr>
        <w:pStyle w:val="ListParagraph"/>
        <w:numPr>
          <w:ilvl w:val="0"/>
          <w:numId w:val="2"/>
        </w:numPr>
        <w:spacing w:after="60"/>
      </w:pPr>
      <w:r>
        <w:rPr>
          <w:rFonts w:ascii="Calibri" w:cs="Calibri" w:eastAsia="Calibri" w:hAnsi="Calibri"/>
          <w:b/>
          <w:bCs/>
        </w:rPr>
        <w:t xml:space="preserve">Add an example: </w:t>
      </w:r>
      <w:r>
        <w:rPr>
          <w:rFonts w:ascii="Calibri" w:cs="Calibri" w:eastAsia="Calibri" w:hAnsi="Calibri"/>
        </w:rPr>
        <w:t xml:space="preserve">For “quality of caregiver-child interaction,” show a 4-level rubric (1=passive, 2=responsive to distress only, 3=responsive and initiates, 4=scaffolding) alongside the quantitative indicator (frequency count). This demonstrates that qualitative measurement can be systematic.</w:t>
      </w:r>
    </w:p>
    <w:p>
      <w:pPr>
        <w:pStyle w:val="ListParagraph"/>
        <w:numPr>
          <w:ilvl w:val="0"/>
          <w:numId w:val="2"/>
        </w:numPr>
        <w:spacing w:after="60"/>
      </w:pPr>
      <w:r>
        <w:rPr>
          <w:rFonts w:ascii="Calibri" w:cs="Calibri" w:eastAsia="Calibri" w:hAnsi="Calibri"/>
          <w:b/>
          <w:bCs/>
        </w:rPr>
        <w:t xml:space="preserve">Integrate into Exercise 2: </w:t>
      </w:r>
      <w:r>
        <w:rPr>
          <w:rFonts w:ascii="Calibri" w:cs="Calibri" w:eastAsia="Calibri" w:hAnsi="Calibri"/>
        </w:rPr>
        <w:t xml:space="preserve">When participants design indicators, prompt them to consider: “Could this be measured with a scale or rubric? What would the levels look like?”</w:t>
      </w:r>
    </w:p>
    <w:p>
      <w:pPr>
        <w:pStyle w:val="ListParagraph"/>
        <w:numPr>
          <w:ilvl w:val="0"/>
          <w:numId w:val="2"/>
        </w:numPr>
        <w:spacing w:after="60"/>
      </w:pPr>
      <w:r>
        <w:rPr>
          <w:rFonts w:ascii="Calibri" w:cs="Calibri" w:eastAsia="Calibri" w:hAnsi="Calibri"/>
          <w:b/>
          <w:bCs/>
        </w:rPr>
        <w:t xml:space="preserve">Link to Session 3: </w:t>
      </w:r>
      <w:r>
        <w:rPr>
          <w:rFonts w:ascii="Calibri" w:cs="Calibri" w:eastAsia="Calibri" w:hAnsi="Calibri"/>
        </w:rPr>
        <w:t xml:space="preserve">The rubric/scale approach bridges into qualitative methods — it shows participants that “qualitative” doesn’t mean “unstructured.”</w:t>
      </w:r>
    </w:p>
    <w:p>
      <w:pPr>
        <w:spacing w:after="120"/>
      </w:pPr>
      <w:r>
        <w:rPr>
          <w:rFonts w:ascii="Calibri" w:cs="Calibri" w:eastAsia="Calibri" w:hAnsi="Calibri"/>
          <w:b/>
          <w:bCs/>
        </w:rPr>
        <w:t xml:space="preserve">Action: </w:t>
      </w:r>
      <w:r>
        <w:rPr>
          <w:rFonts w:ascii="Calibri" w:cs="Calibri" w:eastAsia="Calibri" w:hAnsi="Calibri"/>
        </w:rPr>
        <w:t xml:space="preserve">Develop 2–3 rubric examples for the Creciendo Juntos case (interaction quality, facilitator delivery quality, home environment enrichment) and integrate into the Session 2 slides and exercise set.</w:t>
      </w:r>
    </w:p>
    <w:p/>
    <w:p>
      <w:pPr>
        <w:pStyle w:val="Heading2"/>
      </w:pPr>
      <w:r>
        <w:t xml:space="preserve">Positive feedback</w:t>
      </w:r>
    </w:p>
    <w:p>
      <w:pPr>
        <w:spacing w:before="60" w:after="60"/>
      </w:pPr>
      <w:r>
        <w:rPr>
          <w:rFonts w:ascii="Calibri" w:cs="Calibri" w:eastAsia="Calibri" w:hAnsi="Calibri"/>
          <w:i/>
          <w:iCs/>
          <w:color w:val="555555"/>
        </w:rPr>
        <w:t xml:space="preserve">"Absolutely loved Exercise 4!"</w:t>
      </w:r>
    </w:p>
    <w:p>
      <w:pPr>
        <w:spacing w:after="120"/>
      </w:pPr>
      <w:r>
        <w:rPr>
          <w:rFonts w:ascii="Calibri" w:cs="Calibri" w:eastAsia="Calibri" w:hAnsi="Calibri"/>
        </w:rPr>
        <w:t xml:space="preserve">Noted. The contribution analysis connection in Exercise 4 is preserved.</w:t>
      </w:r>
    </w:p>
    <w:p/>
    <w:p>
      <w:pPr>
        <w:pStyle w:val="Heading1"/>
      </w:pPr>
      <w:r>
        <w:t xml:space="preserve">08–09 — SESSIONS 3 &amp; 4 (QUALITATIVE + QUANTITATIVE)</w:t>
      </w:r>
    </w:p>
    <w:p>
      <w:pPr>
        <w:pStyle w:val="Heading2"/>
      </w:pPr>
      <w:r>
        <w:t xml:space="preserve">General feedback</w:t>
      </w:r>
    </w:p>
    <w:p>
      <w:pPr>
        <w:spacing w:before="60" w:after="60"/>
      </w:pPr>
      <w:r>
        <w:rPr>
          <w:rFonts w:ascii="Calibri" w:cs="Calibri" w:eastAsia="Calibri" w:hAnsi="Calibri"/>
          <w:i/>
          <w:iCs/>
          <w:color w:val="555555"/>
        </w:rPr>
        <w:t xml:space="preserve">"Quali: Loved the session. Quanti: Amazing approach. Heterogeneity exercise could use a dry run. Probably will require a strong ToT. Maybe an internal dry run."</w:t>
      </w:r>
    </w:p>
    <w:p>
      <w:pPr>
        <w:spacing w:after="120"/>
      </w:pPr>
      <w:r>
        <w:rPr>
          <w:rFonts w:ascii="Calibri" w:cs="Calibri" w:eastAsia="Calibri" w:hAnsi="Calibri"/>
        </w:rPr>
        <w:t xml:space="preserve">Agreed on all points:</w:t>
      </w:r>
    </w:p>
    <w:p>
      <w:pPr>
        <w:pStyle w:val="ListParagraph"/>
        <w:numPr>
          <w:ilvl w:val="0"/>
          <w:numId w:val="2"/>
        </w:numPr>
        <w:spacing w:after="60"/>
      </w:pPr>
      <w:r>
        <w:rPr>
          <w:rFonts w:ascii="Calibri" w:cs="Calibri" w:eastAsia="Calibri" w:hAnsi="Calibri"/>
          <w:b/>
          <w:bCs/>
        </w:rPr>
        <w:t xml:space="preserve">Heterogeneity dry run: </w:t>
      </w:r>
      <w:r>
        <w:rPr>
          <w:rFonts w:ascii="Calibri" w:cs="Calibri" w:eastAsia="Calibri" w:hAnsi="Calibri"/>
        </w:rPr>
        <w:t xml:space="preserve">We’ll prepare a facilitator walkthrough with sample data so the exercise can be tested before delivery. The equity implications discussion requires careful facilitation.</w:t>
      </w:r>
    </w:p>
    <w:p>
      <w:pPr>
        <w:pStyle w:val="ListParagraph"/>
        <w:numPr>
          <w:ilvl w:val="0"/>
          <w:numId w:val="2"/>
        </w:numPr>
        <w:spacing w:after="60"/>
      </w:pPr>
      <w:r>
        <w:rPr>
          <w:rFonts w:ascii="Calibri" w:cs="Calibri" w:eastAsia="Calibri" w:hAnsi="Calibri"/>
          <w:b/>
          <w:bCs/>
        </w:rPr>
        <w:t xml:space="preserve">Training of Trainers (ToT): </w:t>
      </w:r>
      <w:r>
        <w:rPr>
          <w:rFonts w:ascii="Calibri" w:cs="Calibri" w:eastAsia="Calibri" w:hAnsi="Calibri"/>
        </w:rPr>
        <w:t xml:space="preserve">Sessions 3–4 are the most technically demanding. We recommend a dedicated ToT session where facilitators practice running these exercises with sample participants.</w:t>
      </w:r>
    </w:p>
    <w:p>
      <w:pPr>
        <w:pStyle w:val="ListParagraph"/>
        <w:numPr>
          <w:ilvl w:val="0"/>
          <w:numId w:val="2"/>
        </w:numPr>
        <w:spacing w:after="60"/>
      </w:pPr>
      <w:r>
        <w:rPr>
          <w:rFonts w:ascii="Calibri" w:cs="Calibri" w:eastAsia="Calibri" w:hAnsi="Calibri"/>
          <w:b/>
          <w:bCs/>
        </w:rPr>
        <w:t xml:space="preserve">Internal dry run: </w:t>
      </w:r>
      <w:r>
        <w:rPr>
          <w:rFonts w:ascii="Calibri" w:cs="Calibri" w:eastAsia="Calibri" w:hAnsi="Calibri"/>
        </w:rPr>
        <w:t xml:space="preserve">We can schedule a pilot run of the full qualitative + quantitative sequence with a small group before the first EVALAC delivery.</w:t>
      </w:r>
    </w:p>
    <w:p>
      <w:pPr>
        <w:spacing w:after="120"/>
      </w:pPr>
      <w:r>
        <w:rPr>
          <w:rFonts w:ascii="Calibri" w:cs="Calibri" w:eastAsia="Calibri" w:hAnsi="Calibri"/>
          <w:b/>
          <w:bCs/>
        </w:rPr>
        <w:t xml:space="preserve">Action: </w:t>
      </w:r>
      <w:r>
        <w:rPr>
          <w:rFonts w:ascii="Calibri" w:cs="Calibri" w:eastAsia="Calibri" w:hAnsi="Calibri"/>
        </w:rPr>
        <w:t xml:space="preserve">Build ToT materials alongside the slides. Include a facilitator guide with anticipated participant questions and suggested responses.</w:t>
      </w:r>
    </w:p>
    <w:p/>
    <w:p>
      <w:pPr>
        <w:pStyle w:val="Heading1"/>
      </w:pPr>
      <w:r>
        <w:t xml:space="preserve">10 — CHEAT SHEET: SESSION 5</w:t>
      </w:r>
    </w:p>
    <w:p>
      <w:pPr>
        <w:pStyle w:val="Heading2"/>
      </w:pPr>
      <w:r>
        <w:t xml:space="preserve">Exercises 1, 2 &amp; 5</w:t>
      </w:r>
    </w:p>
    <w:p>
      <w:pPr>
        <w:spacing w:before="60" w:after="60"/>
      </w:pPr>
      <w:r>
        <w:rPr>
          <w:rFonts w:ascii="Calibri" w:cs="Calibri" w:eastAsia="Calibri" w:hAnsi="Calibri"/>
          <w:i/>
          <w:iCs/>
          <w:color w:val="555555"/>
        </w:rPr>
        <w:t xml:space="preserve">"Slam dunk!"</w:t>
      </w:r>
    </w:p>
    <w:p>
      <w:pPr>
        <w:spacing w:after="120"/>
      </w:pPr>
      <w:r>
        <w:rPr>
          <w:rFonts w:ascii="Calibri" w:cs="Calibri" w:eastAsia="Calibri" w:hAnsi="Calibri"/>
        </w:rPr>
        <w:t xml:space="preserve">Noted. Preserved as-is.</w:t>
      </w:r>
    </w:p>
    <w:p/>
    <w:p>
      <w:pPr>
        <w:pStyle w:val="Heading2"/>
      </w:pPr>
      <w:r>
        <w:t xml:space="preserve">Templates for Exercises 3 &amp; 4</w:t>
      </w:r>
    </w:p>
    <w:p>
      <w:pPr>
        <w:spacing w:before="60" w:after="60"/>
      </w:pPr>
      <w:r>
        <w:rPr>
          <w:rFonts w:ascii="Calibri" w:cs="Calibri" w:eastAsia="Calibri" w:hAnsi="Calibri"/>
          <w:i/>
          <w:iCs/>
          <w:color w:val="555555"/>
        </w:rPr>
        <w:t xml:space="preserve">"Let’s work together on pertinent templates that make it easier for the facilitator and the participants to execute."</w:t>
      </w:r>
    </w:p>
    <w:p>
      <w:pPr>
        <w:spacing w:after="120"/>
      </w:pPr>
      <w:r>
        <w:rPr>
          <w:rFonts w:ascii="Calibri" w:cs="Calibri" w:eastAsia="Calibri" w:hAnsi="Calibri"/>
        </w:rPr>
        <w:t xml:space="preserve">Agreed. We suggest developing:</w:t>
      </w:r>
    </w:p>
    <w:p>
      <w:pPr>
        <w:pStyle w:val="ListParagraph"/>
        <w:numPr>
          <w:ilvl w:val="0"/>
          <w:numId w:val="2"/>
        </w:numPr>
        <w:spacing w:after="60"/>
      </w:pPr>
      <w:r>
        <w:rPr>
          <w:rFonts w:ascii="Calibri" w:cs="Calibri" w:eastAsia="Calibri" w:hAnsi="Calibri"/>
          <w:b/>
          <w:bCs/>
        </w:rPr>
        <w:t xml:space="preserve">Exercise 3 (Assumption Assessment) template: </w:t>
      </w:r>
      <w:r>
        <w:rPr>
          <w:rFonts w:ascii="Calibri" w:cs="Calibri" w:eastAsia="Calibri" w:hAnsi="Calibri"/>
        </w:rPr>
        <w:t xml:space="preserve">A structured table with columns: Assumption | Expected | Observed | Status (Held/Partially Violated/Violated) | Implications for Contribution Claim. Pre-populated with the case assumptions from the ToC.</w:t>
      </w:r>
    </w:p>
    <w:p>
      <w:pPr>
        <w:pStyle w:val="ListParagraph"/>
        <w:numPr>
          <w:ilvl w:val="0"/>
          <w:numId w:val="2"/>
        </w:numPr>
        <w:spacing w:after="60"/>
      </w:pPr>
      <w:r>
        <w:rPr>
          <w:rFonts w:ascii="Calibri" w:cs="Calibri" w:eastAsia="Calibri" w:hAnsi="Calibri"/>
          <w:b/>
          <w:bCs/>
        </w:rPr>
        <w:t xml:space="preserve">Exercise 4 (Contribution Claim Rating) template: </w:t>
      </w:r>
      <w:r>
        <w:rPr>
          <w:rFonts w:ascii="Calibri" w:cs="Calibri" w:eastAsia="Calibri" w:hAnsi="Calibri"/>
        </w:rPr>
        <w:t xml:space="preserve">A scorecard with the 5 criteria (consistency, specificity, dose-response, timeline, alternatives) and a 1–4 rating scale for each. Includes space for evidence citations from Sessions 3–4.</w:t>
      </w:r>
    </w:p>
    <w:p>
      <w:pPr>
        <w:spacing w:after="120"/>
      </w:pPr>
      <w:r>
        <w:rPr>
          <w:rFonts w:ascii="Calibri" w:cs="Calibri" w:eastAsia="Calibri" w:hAnsi="Calibri"/>
          <w:b/>
          <w:bCs/>
        </w:rPr>
        <w:t xml:space="preserve">Action: </w:t>
      </w:r>
      <w:r>
        <w:rPr>
          <w:rFonts w:ascii="Calibri" w:cs="Calibri" w:eastAsia="Calibri" w:hAnsi="Calibri"/>
        </w:rPr>
        <w:t xml:space="preserve">We’ll draft both templates and share for review before finalizing. These can be incorporated into both the slides and the exercise handouts.</w:t>
      </w:r>
    </w:p>
    <w:p/>
    <w:p>
      <w:pPr>
        <w:pStyle w:val="Heading1"/>
      </w:pPr>
      <w:r>
        <w:t xml:space="preserve">SUMMARY OF ACTIONS</w:t>
      </w:r>
    </w:p>
    <w:p>
      <w:pPr>
        <w:pStyle w:val="ListParagraph"/>
        <w:numPr>
          <w:ilvl w:val="0"/>
          <w:numId w:val="2"/>
        </w:numPr>
        <w:spacing w:after="60"/>
      </w:pPr>
      <w:r>
        <w:rPr>
          <w:rFonts w:ascii="Calibri" w:cs="Calibri" w:eastAsia="Calibri" w:hAnsi="Calibri"/>
        </w:rPr>
        <w:t xml:space="preserve">Prototype the progressive handout approach in Session 1 slides</w:t>
      </w:r>
    </w:p>
    <w:p>
      <w:pPr>
        <w:pStyle w:val="ListParagraph"/>
        <w:numPr>
          <w:ilvl w:val="0"/>
          <w:numId w:val="2"/>
        </w:numPr>
        <w:spacing w:after="60"/>
      </w:pPr>
      <w:r>
        <w:rPr>
          <w:rFonts w:ascii="Calibri" w:cs="Calibri" w:eastAsia="Calibri" w:hAnsi="Calibri"/>
        </w:rPr>
        <w:t xml:space="preserve">Add ministry-component mapping table to narrative</w:t>
      </w:r>
    </w:p>
    <w:p>
      <w:pPr>
        <w:pStyle w:val="ListParagraph"/>
        <w:numPr>
          <w:ilvl w:val="0"/>
          <w:numId w:val="2"/>
        </w:numPr>
        <w:spacing w:after="60"/>
      </w:pPr>
      <w:r>
        <w:rPr>
          <w:rFonts w:ascii="Calibri" w:cs="Calibri" w:eastAsia="Calibri" w:hAnsi="Calibri"/>
        </w:rPr>
        <w:t xml:space="preserve">Add “How to Use This Document” note to ToC</w:t>
      </w:r>
    </w:p>
    <w:p>
      <w:pPr>
        <w:pStyle w:val="ListParagraph"/>
        <w:numPr>
          <w:ilvl w:val="0"/>
          <w:numId w:val="2"/>
        </w:numPr>
        <w:spacing w:after="60"/>
      </w:pPr>
      <w:r>
        <w:rPr>
          <w:rFonts w:ascii="Calibri" w:cs="Calibri" w:eastAsia="Calibri" w:hAnsi="Calibri"/>
        </w:rPr>
        <w:t xml:space="preserve">Make “Why it might fail” → testable hypotheses pathway explicit in slides</w:t>
      </w:r>
    </w:p>
    <w:p>
      <w:pPr>
        <w:pStyle w:val="ListParagraph"/>
        <w:numPr>
          <w:ilvl w:val="0"/>
          <w:numId w:val="2"/>
        </w:numPr>
        <w:spacing w:after="60"/>
      </w:pPr>
      <w:r>
        <w:rPr>
          <w:rFonts w:ascii="Calibri" w:cs="Calibri" w:eastAsia="Calibri" w:hAnsi="Calibri"/>
        </w:rPr>
        <w:t xml:space="preserve">Include ToC-to-monitoring-tiers visual in Session 2 slides</w:t>
      </w:r>
    </w:p>
    <w:p>
      <w:pPr>
        <w:pStyle w:val="ListParagraph"/>
        <w:numPr>
          <w:ilvl w:val="0"/>
          <w:numId w:val="2"/>
        </w:numPr>
        <w:spacing w:after="60"/>
      </w:pPr>
      <w:r>
        <w:rPr>
          <w:rFonts w:ascii="Calibri" w:cs="Calibri" w:eastAsia="Calibri" w:hAnsi="Calibri"/>
        </w:rPr>
        <w:t xml:space="preserve">Develop 2–3 rubric/scale examples for qualitative indicators (Session 2)</w:t>
      </w:r>
    </w:p>
    <w:p>
      <w:pPr>
        <w:pStyle w:val="ListParagraph"/>
        <w:numPr>
          <w:ilvl w:val="0"/>
          <w:numId w:val="2"/>
        </w:numPr>
        <w:spacing w:after="60"/>
      </w:pPr>
      <w:r>
        <w:rPr>
          <w:rFonts w:ascii="Calibri" w:cs="Calibri" w:eastAsia="Calibri" w:hAnsi="Calibri"/>
        </w:rPr>
        <w:t xml:space="preserve">Prepare heterogeneity exercise dry run with sample data</w:t>
      </w:r>
    </w:p>
    <w:p>
      <w:pPr>
        <w:pStyle w:val="ListParagraph"/>
        <w:numPr>
          <w:ilvl w:val="0"/>
          <w:numId w:val="2"/>
        </w:numPr>
        <w:spacing w:after="60"/>
      </w:pPr>
      <w:r>
        <w:rPr>
          <w:rFonts w:ascii="Calibri" w:cs="Calibri" w:eastAsia="Calibri" w:hAnsi="Calibri"/>
        </w:rPr>
        <w:t xml:space="preserve">Build ToT materials alongside slides</w:t>
      </w:r>
    </w:p>
    <w:p>
      <w:pPr>
        <w:pStyle w:val="ListParagraph"/>
        <w:numPr>
          <w:ilvl w:val="0"/>
          <w:numId w:val="2"/>
        </w:numPr>
        <w:spacing w:after="60"/>
      </w:pPr>
      <w:r>
        <w:rPr>
          <w:rFonts w:ascii="Calibri" w:cs="Calibri" w:eastAsia="Calibri" w:hAnsi="Calibri"/>
        </w:rPr>
        <w:t xml:space="preserve">Draft templates for Session 5, Exercises 3 &amp; 4</w:t>
      </w:r>
    </w:p>
    <w:p>
      <w:pPr>
        <w:pStyle w:val="ListParagraph"/>
        <w:numPr>
          <w:ilvl w:val="0"/>
          <w:numId w:val="2"/>
        </w:numPr>
        <w:spacing w:after="60"/>
      </w:pPr>
      <w:r>
        <w:rPr>
          <w:rFonts w:ascii="Calibri" w:cs="Calibri" w:eastAsia="Calibri" w:hAnsi="Calibri"/>
        </w:rPr>
        <w:t xml:space="preserve">Schedule internal dry run for Sessions 3–4 sequence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Internal working document — March 4th meeting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jc w:val="right"/>
    </w:pPr>
    <w:r>
      <w:rPr>
        <w:rFonts w:ascii="Calibri" w:cs="Calibri" w:eastAsia="Calibri" w:hAnsi="Calibri"/>
        <w:color w:val="999999"/>
        <w:sz w:val="16"/>
        <w:szCs w:val="16"/>
      </w:rPr>
      <w:t xml:space="preserve">EVALAC I — Check-in Response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40" w:after="1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2026-03-03T23:13:08.490Z</dcterms:created>
  <dcterms:modified xsi:type="dcterms:W3CDTF">2026-03-03T23:13:08.491Z</dcterms:modified>
</cp:coreProperties>
</file>

<file path=docProps/custom.xml><?xml version="1.0" encoding="utf-8"?>
<Properties xmlns="http://schemas.openxmlformats.org/officeDocument/2006/custom-properties" xmlns:vt="http://schemas.openxmlformats.org/officeDocument/2006/docPropsVTypes"/>
</file>