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EVALAC I — Session 1 Reading | Creciendo Juntos</w:t>
      </w:r>
    </w:p>
    <w:p>
      <w:pPr>
        <w:jc w:val="center"/>
      </w:pPr>
      <w:r>
        <w:rPr>
          <w:b/>
          <w:sz w:val="22"/>
        </w:rPr>
        <w:t>Read this handout BEFORE Session 1 to understand the program before building the Theory of Change.</w:t>
      </w:r>
    </w:p>
    <w:p/>
    <w:p>
      <w:pPr>
        <w:pStyle w:val="Heading2"/>
      </w:pPr>
      <w:r>
        <w:t>The Political Context</w:t>
      </w:r>
    </w:p>
    <w:p>
      <w:r>
        <w:t>In October 2025, President Elena Vargas announced “Creciendo Juntos” (Growing Together), the flagship early childhood development program of her administration. The country — a middle-income nation of 45 million — had achieved near-universal primary enrollment and reduced extreme poverty from 18% to 7%. Yet a troubling gap persisted: only 42% of children from the poorest families achieved age-appropriate developmental milestones by age 3, compared to 78% from wealthy families.</w:t>
      </w:r>
    </w:p>
    <w:p>
      <w:r>
        <w:t>Congress approved a seven-year program (2026–2032) with conditions: start small with 50,000 children in 180 municipalities, scale if successful, redesign or cut if weak, and mandate independent evaluation with public interim reports in years 2 and 4. The political message: prove this works before expanding.</w:t>
      </w:r>
    </w:p>
    <w:p>
      <w:r>
        <w:t>Dr. Carlos Mendoza, a pediatrician with public health training, was appointed National Coordinator. His mandate: “You have 24 months to show clear evidence of real change.”</w:t>
      </w:r>
    </w:p>
    <w:p>
      <w:pPr>
        <w:pStyle w:val="Heading2"/>
      </w:pPr>
      <w:r>
        <w:t>Program Overview: Four Integrated Components</w:t>
      </w:r>
    </w:p>
    <w:p>
      <w:r>
        <w:t>Drawing on evidence from Chile Crece Contigo, Jamaica Reach Up, Brazil Primeira Infância Melhor, and Colombia Familias en Acción, the team designed four reinforcing components:</w:t>
      </w:r>
    </w:p>
    <w:p>
      <w:r>
        <w:t>Component 1 — Community-Based Parenting Groups: Weekly 90-minute sessions with 12–15 caregivers, led by community facilitators. The curriculum covers 36 sessions over 9 months, progressing from child development fundamentals through responsive caregiving, play-based learning, nutrition, and peer support.</w:t>
      </w:r>
    </w:p>
    <w:p>
      <w:r>
        <w:t>Component 2 — Monthly Home Visits: Each facilitator conducts monthly 60-minute visits with 20–25 assigned families, providing personalized coaching on caregiver-child interactions and identifying families at risk of dropping out.</w:t>
      </w:r>
    </w:p>
    <w:p>
      <w:r>
        <w:t>Component 3 — Growth Monitoring and Nutrition Support: Monthly growth monitoring, developmental screening (ASQ-3 at 6, 12, 18, and 24 months), nutrition supplementation for malnourished children, and fast-tracked referrals.</w:t>
      </w:r>
    </w:p>
    <w:p>
      <w:r>
        <w:t>Component 4 — Early Learning Centers: Twice-weekly structured play sessions for children aged 2–5 where caregivers participate alongside children, functioning as demonstration sites.</w:t>
      </w:r>
    </w:p>
    <w:p>
      <w:pPr>
        <w:pStyle w:val="Heading2"/>
      </w:pPr>
      <w:r>
        <w:t>Family Listening Sessions: The Voices That Matter</w:t>
      </w:r>
    </w:p>
    <w:p>
      <w:r>
        <w:t>During February–March 2026, Mendoza’s team conducted listening sessions across target communities. Key themes emerged:</w:t>
      </w:r>
    </w:p>
    <w:p>
      <w:r>
        <w:rPr>
          <w:i/>
          <w:sz w:val="18"/>
        </w:rPr>
        <w:t>“I love my daughter, but I honestly do not know what to do with her all day. She watches television while I do laundry and cook.” — María, 22, first-time mother</w:t>
      </w:r>
    </w:p>
    <w:p>
      <w:r>
        <w:rPr>
          <w:i/>
          <w:sz w:val="18"/>
        </w:rPr>
        <w:t>“I am alone all day with three children under five. My husband works construction, my mother lives in another city.” — Carmen, 27</w:t>
      </w:r>
    </w:p>
    <w:p>
      <w:r>
        <w:rPr>
          <w:i/>
          <w:sz w:val="18"/>
        </w:rPr>
        <w:t>“These young mothers do not know how to discipline. A smack on the hand teaches respect.” — Doña Rosa, 58, grandmother</w:t>
      </w:r>
    </w:p>
    <w:p>
      <w:r>
        <w:rPr>
          <w:i/>
          <w:sz w:val="18"/>
        </w:rPr>
        <w:t>“My job is to provide money. The health center wanted me to come to a parenting session. But I would be the only man there.” — Diego, 28</w:t>
      </w:r>
    </w:p>
    <w:p>
      <w:r>
        <w:rPr>
          <w:i/>
          <w:sz w:val="18"/>
        </w:rPr>
        <w:t>“The health center makes me feel stupid. The nurse says I should read to my baby every day. I do not have books. I can barely read myself.” — Valeria, 15, teenage mother</w:t>
      </w:r>
    </w:p>
    <w:p>
      <w:r>
        <w:t>Mendoza’s synthesis: the challenge was not merely lack of services but a complex intersection of limited knowledge, conflicting beliefs, social isolation, structural barriers, and rigid gender norms.</w:t>
      </w:r>
    </w:p>
    <w:p/>
    <w:p>
      <w:r>
        <w:rPr>
          <w:b/>
          <w:sz w:val="20"/>
        </w:rPr>
        <w:t>→ Continue in Session 2: Translating the Theory of Change into measurable indicators.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