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EVALAC I — Session 2 Reading | Creciendo Juntos</w:t>
      </w:r>
    </w:p>
    <w:p>
      <w:pPr>
        <w:jc w:val="center"/>
      </w:pPr>
      <w:r>
        <w:rPr>
          <w:b/>
          <w:sz w:val="22"/>
        </w:rPr>
        <w:t>Read this handout DURING Exercise 2 (Indicator Specifications) for operational details.</w:t>
      </w:r>
    </w:p>
    <w:p/>
    <w:p>
      <w:pPr>
        <w:pStyle w:val="Heading2"/>
      </w:pPr>
      <w:r>
        <w:t>Program Implementation Structure</w:t>
      </w:r>
    </w:p>
    <w:p>
      <w:r>
        <w:t>The program operates through a three-level governance structure:</w:t>
      </w:r>
    </w:p>
    <w:p>
      <w:r>
        <w:t>National level: Dr. Mendoza leads with presidential authority. An Inter-Ministerial Steering Committee (Health, Social Development, Education) meets monthly.</w:t>
      </w:r>
    </w:p>
    <w:p>
      <w:r>
        <w:t>State level: 23 coordinators provide technical assistance and supervision across regions.</w:t>
      </w:r>
    </w:p>
    <w:p>
      <w:r>
        <w:t>Municipal level: 180 coordinators supervise facilitators and manage local delivery.</w:t>
      </w:r>
    </w:p>
    <w:p>
      <w:pPr>
        <w:pStyle w:val="Heading2"/>
      </w:pPr>
      <w:r>
        <w:t>Operational Details: Staffing and Delivery</w:t>
      </w:r>
    </w:p>
    <w:p>
      <w:r>
        <w:t>The 750 community facilitators are the cornerstone — recruited from target neighborhoods, each managing 20–25 families. They are part-time government employees receiving monthly group supervision. Evidence shows peer educators as effective as professionals for parenting support when properly trained and supervised.</w:t>
      </w:r>
    </w:p>
    <w:p>
      <w:r>
        <w:t>Facilitators deliver: weekly 90-minute parenting groups (36-session curriculum over 9 months) and monthly 60-minute home visits. Health center nurses conduct growth monitoring and developmental screening (ASQ-3 at 6, 12, 18, 24 months).</w:t>
      </w:r>
    </w:p>
    <w:p>
      <w:pPr>
        <w:pStyle w:val="Heading2"/>
      </w:pPr>
      <w:r>
        <w:t>Timeline and Budget</w:t>
      </w:r>
    </w:p>
    <w:p>
      <w:r>
        <w:t>Phase 1 (2026): Pilot launch in 60 municipalities, 15,000 children.</w:t>
      </w:r>
    </w:p>
    <w:p>
      <w:r>
        <w:t>Phase 2 (2027): Expansion to 180 municipalities, 50,000 children.</w:t>
      </w:r>
    </w:p>
    <w:p>
      <w:r>
        <w:t>Phase 3 (2028–2030): Conditional scale-up to 200,000 children.</w:t>
      </w:r>
    </w:p>
    <w:p>
      <w:r>
        <w:t>Phase 4 (2031+): National expansion pending final evaluation.</w:t>
      </w:r>
    </w:p>
    <w:p>
      <w:r>
        <w:t>Total budget: USD 285 million over the program period (approximately USD 1,140 per child per year). The largest share (45%) is allocated to personnel.</w:t>
      </w:r>
    </w:p>
    <w:p>
      <w:pPr>
        <w:pStyle w:val="Heading2"/>
      </w:pPr>
      <w:r>
        <w:t>What Decision-Makers Need to Know</w:t>
      </w:r>
    </w:p>
    <w:p>
      <w:r>
        <w:rPr>
          <w:i/>
          <w:sz w:val="18"/>
        </w:rPr>
        <w:t>“Should I push Congress to approve full-scale expansion? Or should we redesign first?” — President Vargas</w:t>
      </w:r>
    </w:p>
    <w:p>
      <w:r>
        <w:rPr>
          <w:i/>
          <w:sz w:val="18"/>
        </w:rPr>
        <w:t>“Are we getting value for money? Could we achieve similar results with cheaper interventions?” — Treasury Minister</w:t>
      </w:r>
    </w:p>
    <w:p>
      <w:r>
        <w:rPr>
          <w:i/>
          <w:sz w:val="18"/>
        </w:rPr>
        <w:t>“Is this just another bloated social program? Prove children are actually developing more.” — Opposition leader</w:t>
      </w:r>
    </w:p>
    <w:p/>
    <w:p>
      <w:r>
        <w:rPr>
          <w:b/>
          <w:sz w:val="20"/>
        </w:rPr>
        <w:t>→ Continue in Session 3: Designing qualitative investigations to explore causal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