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EVALAC I — Session 3 Reading | Creciendo Juntos</w:t>
      </w:r>
    </w:p>
    <w:p>
      <w:pPr>
        <w:jc w:val="center"/>
      </w:pPr>
      <w:r>
        <w:rPr>
          <w:b/>
          <w:sz w:val="22"/>
        </w:rPr>
        <w:t>Read this handout DURING Exercise 1 (Design Qualitative Investigation) for field context.</w:t>
      </w:r>
    </w:p>
    <w:p/>
    <w:p>
      <w:pPr>
        <w:pStyle w:val="Heading2"/>
      </w:pPr>
      <w:r>
        <w:t>Family Listening Sessions: Full Voices</w:t>
      </w:r>
    </w:p>
    <w:p>
      <w:r>
        <w:t>Mothers described knowledge gaps and isolation:</w:t>
      </w:r>
    </w:p>
    <w:p>
      <w:r>
        <w:rPr>
          <w:i/>
          <w:sz w:val="18"/>
        </w:rPr>
        <w:t>“I love my daughter, but I honestly do not know what to do with her all day. She watches television while I do laundry and cook. I thought babies do not really learn anything until they are older.” — María, 22</w:t>
      </w:r>
    </w:p>
    <w:p>
      <w:r>
        <w:rPr>
          <w:i/>
          <w:sz w:val="18"/>
        </w:rPr>
        <w:t>“I am alone all day with three children under five. My husband works construction, my mother lives in another city. There is nobody to ask if what I am doing is right. I feel like I am doing everything wrong.” — Carmen, 27</w:t>
      </w:r>
    </w:p>
    <w:p>
      <w:r>
        <w:t>Grandmothers reflected conflicting beliefs:</w:t>
      </w:r>
    </w:p>
    <w:p>
      <w:r>
        <w:rPr>
          <w:i/>
          <w:sz w:val="18"/>
        </w:rPr>
        <w:t>“These young mothers do not know how to discipline. A smack on the hand teaches respect. All this talk about development is for wealthy people.” — Doña Rosa, 58</w:t>
      </w:r>
    </w:p>
    <w:p>
      <w:r>
        <w:t>Fathers revealed traditional gender roles:</w:t>
      </w:r>
    </w:p>
    <w:p>
      <w:r>
        <w:rPr>
          <w:i/>
          <w:sz w:val="18"/>
        </w:rPr>
        <w:t>“My job is to provide money. I work 12 hours a day in construction. When I come home tired, the last thing I want is a baby crying. My wife handles that.” — Roberto, 31</w:t>
      </w:r>
    </w:p>
    <w:p>
      <w:r>
        <w:rPr>
          <w:i/>
          <w:sz w:val="18"/>
        </w:rPr>
        <w:t>“The health center wanted me to come to a parenting session. But I would be the only man there with all the mothers. What would people say?” — Diego, 28</w:t>
      </w:r>
    </w:p>
    <w:p>
      <w:r>
        <w:t>Teenage mothers faced shame and structural barriers:</w:t>
      </w:r>
    </w:p>
    <w:p>
      <w:r>
        <w:rPr>
          <w:i/>
          <w:sz w:val="18"/>
        </w:rPr>
        <w:t>“The health center makes me feel stupid. The nurse says I should read to my baby every day. I do not have books. I can barely read myself.” — Valeria, 15</w:t>
      </w:r>
    </w:p>
    <w:p>
      <w:r>
        <w:rPr>
          <w:i/>
          <w:sz w:val="18"/>
        </w:rPr>
        <w:t>“I live with my boyfriend’s family in one room. His mother tells me I do everything wrong with the baby. When the health worker suggested I create a play area, his mother laughed and said where exactly would that go?” — Gabriela, 16</w:t>
      </w:r>
    </w:p>
    <w:p>
      <w:pPr>
        <w:pStyle w:val="Heading2"/>
      </w:pPr>
      <w:r>
        <w:t>Municipal Variation and Implementation Challenges</w:t>
      </w:r>
    </w:p>
    <w:p>
      <w:r>
        <w:t>Capacity ranged dramatically across the 180 municipalities. Well-resourced urban areas had trained social workers and functional health centers. Peri-urban sprawl areas often had one overwhelmed social worker covering 500 families, health centers operating above capacity, and no tradition of inter-sectoral coordination.</w:t>
      </w:r>
    </w:p>
    <w:p>
      <w:r>
        <w:t>Municipal coordinators reported:</w:t>
      </w:r>
    </w:p>
    <w:p>
      <w:r>
        <w:rPr>
          <w:i/>
          <w:sz w:val="18"/>
        </w:rPr>
        <w:t>“We want to help families, but we are drowning in overlapping paperwork from three different ministries. Each has its own reporting formats, deadlines, and supervision visits.” — Municipal coordinator</w:t>
      </w:r>
    </w:p>
    <w:p>
      <w:r>
        <w:rPr>
          <w:i/>
          <w:sz w:val="18"/>
        </w:rPr>
        <w:t>“The families who need services most do not even know they exist. When we try to refer families between Health and Social Development, they fall through the cracks because nobody owns the handoff.” — Municipal coordinator</w:t>
      </w:r>
    </w:p>
    <w:p>
      <w:r>
        <w:t>The three implementing ministries — Health, Social Development, and Education — had never collaborated at this scale. Each operated with separate budget lines, incompatible information systems, distinct professional cultures, and competing priorities.</w:t>
      </w:r>
    </w:p>
    <w:p/>
    <w:p>
      <w:r>
        <w:rPr>
          <w:b/>
          <w:sz w:val="20"/>
        </w:rPr>
        <w:t>→ Continue in Session 4: Interpreting quantitative evidence and testing causal pathways with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