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EVALAC I — Session 4 Reading | Creciendo Juntos</w:t>
      </w:r>
    </w:p>
    <w:p>
      <w:pPr>
        <w:jc w:val="center"/>
      </w:pPr>
      <w:r>
        <w:rPr>
          <w:b/>
          <w:sz w:val="22"/>
        </w:rPr>
        <w:t>Read this handout BEFORE Exercise 1 (Dose-Response Analysis) for data context.</w:t>
      </w:r>
    </w:p>
    <w:p/>
    <w:p>
      <w:pPr>
        <w:pStyle w:val="Heading2"/>
      </w:pPr>
      <w:r>
        <w:t>Monitoring Data and Measurement</w:t>
      </w:r>
    </w:p>
    <w:p>
      <w:r>
        <w:t>The program collects data through multiple channels:</w:t>
      </w:r>
    </w:p>
    <w:p>
      <w:r>
        <w:t>Facilitator records: Attendance at weekly parenting groups and monthly home visits, tracked per family.</w:t>
      </w:r>
    </w:p>
    <w:p>
      <w:r>
        <w:t>Health center records: Growth monitoring data (weight-for-age, height-for-age) and developmental screening scores (ASQ-3 at 6, 12, 18, and 24 months).</w:t>
      </w:r>
    </w:p>
    <w:p>
      <w:r>
        <w:t>Household surveys: Baseline and follow-up surveys measuring caregiver knowledge, reported practices (e.g., daily minutes of responsive interaction, reading frequency), and home environment quality.</w:t>
      </w:r>
    </w:p>
    <w:p>
      <w:r>
        <w:t>Key baseline indicators: 42% of poor children achieving age-appropriate milestones (vs. 78% wealthy); chronic malnutrition affecting 28% of poor children under 3; 65% of poor children unable to read a simple paragraph by third grade.</w:t>
      </w:r>
    </w:p>
    <w:p>
      <w:pPr>
        <w:pStyle w:val="Heading2"/>
      </w:pPr>
      <w:r>
        <w:t>Program Dosage Structure</w:t>
      </w:r>
    </w:p>
    <w:p>
      <w:r>
        <w:t>Full dose per family: 36 weekly parenting sessions over 9 months + 9 monthly home visits + monthly growth monitoring.</w:t>
      </w:r>
    </w:p>
    <w:p>
      <w:r>
        <w:t>The 750 facilitators each manage 20–25 families. Attendance is a critical indicator: the ToC assumes that behavior change requires sustained engagement, not one-time exposure.</w:t>
      </w:r>
    </w:p>
    <w:p>
      <w:r>
        <w:t>Phase 1 (60 municipalities, 15,000 children) provides initial data. Phase 2 expansion to 180 municipalities and 50,000 children creates variation in implementation maturity useful for analysis.</w:t>
      </w:r>
    </w:p>
    <w:p>
      <w:pPr>
        <w:pStyle w:val="Heading2"/>
      </w:pPr>
      <w:r>
        <w:t>Outcome Evidence Framework</w:t>
      </w:r>
    </w:p>
    <w:p>
      <w:r>
        <w:t>The evaluation must address three levels:</w:t>
      </w:r>
    </w:p>
    <w:p>
      <w:r>
        <w:t>1. Implementation fidelity: Were services delivered as designed? (Output indicators)</w:t>
      </w:r>
    </w:p>
    <w:p>
      <w:r>
        <w:t>2. Behavioral mechanisms: Did caregivers change practices? (Mechanism indicators)</w:t>
      </w:r>
    </w:p>
    <w:p>
      <w:r>
        <w:t>3. Child outcomes: Did developmental milestones improve? (Outcome indicators)</w:t>
      </w:r>
    </w:p>
    <w:p>
      <w:r>
        <w:t>Congressional mandate requires public interim reports at year 2 (2028) and year 4 (2030). The 24-month political window means the first report must show credible evidence of at least implementation fidelity and early behavioral change, even if child outcome data is still maturing.</w:t>
      </w:r>
    </w:p>
    <w:p/>
    <w:p>
      <w:r>
        <w:rPr>
          <w:b/>
          <w:sz w:val="20"/>
        </w:rPr>
        <w:t>→ Continue in Session 5: Assembling contribution claims and communicating to decision-makers.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