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F3864"/>
          <w:sz w:val="28"/>
          <w:szCs w:val="28"/>
        </w:rPr>
        <w:t xml:space="preserve">EVALAC I — CASE STUDY</w:t>
      </w:r>
    </w:p>
    <w:p>
      <w:pPr>
        <w:spacing w:after="200"/>
        <w:jc w:val="center"/>
      </w:pPr>
      <w:r>
        <w:rPr>
          <w:color w:val="2E75B6"/>
          <w:sz w:val="26"/>
          <w:szCs w:val="26"/>
        </w:rPr>
        <w:t xml:space="preserve">CHEAT SHEET: SESSION 1 — Theory of Change Construction</w:t>
      </w:r>
    </w:p>
    <w:p>
      <w:pPr>
        <w:spacing w:after="400"/>
        <w:jc w:val="center"/>
      </w:pPr>
      <w:r>
        <w:rPr>
          <w:i/>
          <w:iCs/>
          <w:color w:val="666666"/>
          <w:sz w:val="22"/>
          <w:szCs w:val="22"/>
        </w:rPr>
        <w:t xml:space="preserve">Creciendo Juntos (Integrated Early Childhood Development)</w:t>
      </w:r>
    </w:p>
    <w:p>
      <w:r>
        <w:rPr>
          <w:b/>
          <w:bCs/>
        </w:rPr>
        <w:t xml:space="preserve">SESSION LEARNING OBJECTIVE: </w:t>
      </w:r>
      <w:r>
        <w:t xml:space="preserve">Participants will construct a Theory of Change that articulates causal pathways from program activities through behavioral mechanisms to intended outcomes, identifying critical assumptions.</w:t>
      </w:r>
    </w:p>
    <w:p>
      <w:r>
        <w:rPr>
          <w:b/>
          <w:bCs/>
        </w:rPr>
        <w:t xml:space="preserve">PEDAGOGICAL APPROACH: </w:t>
      </w:r>
      <w:r>
        <w:t xml:space="preserve">Guided construction using COM-B framework; emphasis on observable behaviors of specific actors as the mechanism of change.</w:t>
      </w:r>
    </w:p>
    <w:p/>
    <w:p>
      <w:pPr>
        <w:pStyle w:val="Heading1"/>
      </w:pPr>
      <w:r>
        <w:t xml:space="preserve">EXERCISE 1: IDENTIFY REACHED GROUPS VS TARGET GROUPS</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Read “Creciendo Juntos” overview + “Evidence-Informed Program Design” (all 4 components).</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For the Creciendo Juntos program, identify: (a) which groups are directly reached by program activities, and (b) whose outcomes the program ultimately aims to change. Discuss: what is the relationship between these two sets?</w:t>
      </w:r>
    </w:p>
    <w:p>
      <w:r>
        <w:t xml:space="preserve">TIME: 15 min (small groups) + 10 min (plenary)</w:t>
      </w:r>
    </w:p>
    <w:p/>
    <w:p>
      <w:pPr>
        <w:spacing w:after="120"/>
      </w:pPr>
      <w:r>
        <w:rPr>
          <w:b/>
          <w:bCs/>
        </w:rPr>
        <w:t xml:space="preserve">ANSWER KEY — Part A: Who does the program directly reach?</w:t>
      </w:r>
    </w:p>
    <w:p>
      <w:pPr>
        <w:pStyle w:val="ListParagraph"/>
        <w:numPr>
          <w:ilvl w:val="0"/>
          <w:numId w:val="2"/>
        </w:numPr>
        <w:spacing w:after="60"/>
      </w:pPr>
      <w:r>
        <w:rPr>
          <w:b/>
          <w:bCs/>
        </w:rPr>
        <w:t xml:space="preserve">Primary: </w:t>
      </w:r>
      <w:r>
        <w:t xml:space="preserve">Low-income caregivers (mothers primarily, some fathers, grandmothers) of children 0–3 in 180 municipalities</w:t>
      </w:r>
    </w:p>
    <w:p>
      <w:pPr>
        <w:pStyle w:val="ListParagraph"/>
        <w:numPr>
          <w:ilvl w:val="0"/>
          <w:numId w:val="2"/>
        </w:numPr>
        <w:spacing w:after="60"/>
      </w:pPr>
      <w:r>
        <w:rPr>
          <w:b/>
          <w:bCs/>
        </w:rPr>
        <w:t xml:space="preserve">Secondary: </w:t>
      </w:r>
      <w:r>
        <w:t xml:space="preserve">Community facilitators, health center staff, municipal coordinators, educators</w:t>
      </w:r>
    </w:p>
    <w:p>
      <w:pPr>
        <w:pStyle w:val="ListParagraph"/>
        <w:numPr>
          <w:ilvl w:val="0"/>
          <w:numId w:val="2"/>
        </w:numPr>
        <w:spacing w:after="60"/>
      </w:pPr>
      <w:r>
        <w:rPr>
          <w:b/>
          <w:bCs/>
        </w:rPr>
        <w:t xml:space="preserve">Tertiary: </w:t>
      </w:r>
      <w:r>
        <w:t xml:space="preserve">Extended family, peer networks (indirect exposure)</w:t>
      </w:r>
    </w:p>
    <w:p>
      <w:pPr>
        <w:spacing w:after="120"/>
      </w:pPr>
      <w:r>
        <w:rPr>
          <w:b/>
          <w:bCs/>
        </w:rPr>
        <w:t xml:space="preserve">ANSWER KEY — Part B: Who is the ultimate target?</w:t>
      </w:r>
    </w:p>
    <w:p>
      <w:pPr>
        <w:pStyle w:val="ListParagraph"/>
        <w:numPr>
          <w:ilvl w:val="0"/>
          <w:numId w:val="2"/>
        </w:numPr>
        <w:spacing w:after="60"/>
      </w:pPr>
      <w:r>
        <w:rPr>
          <w:b/>
          <w:bCs/>
        </w:rPr>
        <w:t xml:space="preserve">Primary: </w:t>
      </w:r>
      <w:r>
        <w:t xml:space="preserve">Children aged 0–5 (developmental outcomes)</w:t>
      </w:r>
    </w:p>
    <w:p>
      <w:pPr>
        <w:pStyle w:val="ListParagraph"/>
        <w:numPr>
          <w:ilvl w:val="0"/>
          <w:numId w:val="2"/>
        </w:numPr>
        <w:spacing w:after="60"/>
      </w:pPr>
      <w:r>
        <w:rPr>
          <w:b/>
          <w:bCs/>
        </w:rPr>
        <w:t xml:space="preserve">Secondary: </w:t>
      </w:r>
      <w:r>
        <w:t xml:space="preserve">Caregivers (knowledge, skills, well-being)</w:t>
      </w:r>
    </w:p>
    <w:p>
      <w:pPr>
        <w:pStyle w:val="ListParagraph"/>
        <w:numPr>
          <w:ilvl w:val="0"/>
          <w:numId w:val="2"/>
        </w:numPr>
        <w:spacing w:after="60"/>
      </w:pPr>
      <w:r>
        <w:rPr>
          <w:b/>
          <w:bCs/>
        </w:rPr>
        <w:t xml:space="preserve">Tertiary/Societal: </w:t>
      </w:r>
      <w:r>
        <w:t xml:space="preserve">Families, communities, nation</w:t>
      </w:r>
    </w:p>
    <w:p>
      <w:pPr>
        <w:spacing w:after="120"/>
      </w:pPr>
      <w:r>
        <w:rPr>
          <w:b/>
          <w:bCs/>
        </w:rPr>
        <w:t xml:space="preserve">KEY TEACHING POINT:</w:t>
      </w:r>
    </w:p>
    <w:p>
      <w:r>
        <w:t xml:space="preserve">The program REACHES caregivers to CHANGE caregivers, which then AFFECTS children. The ToC must show this indirect pathway. CAREGIVER BEHAVIORAL CHANGE is the critical mechanism. A ToC fails if it jumps from “sessions delivered” to “child development improves” without specifying the behavioral mechanism.</w:t>
      </w:r>
    </w:p>
    <w:p>
      <w:r>
        <w:br w:type="page"/>
      </w:r>
    </w:p>
    <w:p>
      <w:pPr>
        <w:pStyle w:val="Heading1"/>
      </w:pPr>
      <w:r>
        <w:t xml:space="preserve">EXERCISE 2: DEFINE OBSERVABLE BEHAVIORS FOR EACH ACTOR</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Read “Family Listening Sessions” + “Program Implementation Structure”.</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For each actor listed below, specify observable, measurable behaviors that constitute “success” — what would we SEE if the ToC is working? Consider organizing caregiver behaviors using the COM-B dimensions (Capability, Opportunity, Motivation). Actors: (1) Community Facilitators, (2) Caregivers, (3) Health Center Staff. For Children, discuss: are these behaviors or outcomes?</w:t>
      </w:r>
    </w:p>
    <w:p>
      <w:r>
        <w:t xml:space="preserve">TIME: 25 min (groups assigned actors) + 15 min (gallery walk)</w:t>
      </w:r>
    </w:p>
    <w:p/>
    <w:p>
      <w:pPr>
        <w:pStyle w:val="Heading2"/>
      </w:pPr>
      <w:r>
        <w:t xml:space="preserve">Answer Key — Community Facilitators</w:t>
      </w:r>
    </w:p>
    <w:p>
      <w:pPr>
        <w:pStyle w:val="Heading3"/>
      </w:pPr>
      <w:r>
        <w:t xml:space="preserve">Capability-related:</w:t>
      </w:r>
    </w:p>
    <w:p>
      <w:pPr>
        <w:pStyle w:val="ListParagraph"/>
        <w:numPr>
          <w:ilvl w:val="0"/>
          <w:numId w:val="2"/>
        </w:numPr>
        <w:spacing w:after="60"/>
      </w:pPr>
      <w:r>
        <w:t xml:space="preserve">Models responsive interaction techniques — demonstrates, observes practice, gives feedback (vs. lectures without practice)</w:t>
      </w:r>
    </w:p>
    <w:p>
      <w:pPr>
        <w:pStyle w:val="ListParagraph"/>
        <w:numPr>
          <w:ilvl w:val="0"/>
          <w:numId w:val="2"/>
        </w:numPr>
        <w:spacing w:after="60"/>
      </w:pPr>
      <w:r>
        <w:t xml:space="preserve">Adapts curriculum to local context while maintaining core principles</w:t>
      </w:r>
    </w:p>
    <w:p>
      <w:pPr>
        <w:pStyle w:val="Heading3"/>
      </w:pPr>
      <w:r>
        <w:t xml:space="preserve">Opportunity/Motivation-related:</w:t>
      </w:r>
    </w:p>
    <w:p>
      <w:pPr>
        <w:pStyle w:val="ListParagraph"/>
        <w:numPr>
          <w:ilvl w:val="0"/>
          <w:numId w:val="2"/>
        </w:numPr>
        <w:spacing w:after="60"/>
      </w:pPr>
      <w:r>
        <w:t xml:space="preserve">Attends monthly supervision and implements feedback</w:t>
      </w:r>
    </w:p>
    <w:p>
      <w:pPr>
        <w:pStyle w:val="ListParagraph"/>
        <w:numPr>
          <w:ilvl w:val="0"/>
          <w:numId w:val="2"/>
        </w:numPr>
        <w:spacing w:after="60"/>
      </w:pPr>
      <w:r>
        <w:t xml:space="preserve">Identifies and refers families with special needs</w:t>
      </w:r>
    </w:p>
    <w:p>
      <w:pPr>
        <w:pStyle w:val="Heading2"/>
      </w:pPr>
      <w:r>
        <w:t xml:space="preserve">Answer Key — Caregivers (COM-B)</w:t>
      </w:r>
    </w:p>
    <w:p>
      <w:pPr>
        <w:pStyle w:val="Heading3"/>
      </w:pPr>
      <w:r>
        <w:t xml:space="preserve">Capability:</w:t>
      </w:r>
    </w:p>
    <w:p>
      <w:pPr>
        <w:pStyle w:val="ListParagraph"/>
        <w:numPr>
          <w:ilvl w:val="0"/>
          <w:numId w:val="2"/>
        </w:numPr>
        <w:spacing w:after="60"/>
      </w:pPr>
      <w:r>
        <w:t xml:space="preserve">Demonstrates knowledge of 6+ developmental milestones</w:t>
      </w:r>
    </w:p>
    <w:p>
      <w:pPr>
        <w:pStyle w:val="ListParagraph"/>
        <w:numPr>
          <w:ilvl w:val="0"/>
          <w:numId w:val="2"/>
        </w:numPr>
        <w:spacing w:after="60"/>
      </w:pPr>
      <w:r>
        <w:t xml:space="preserve">Engages in responsive interaction — pauses, follows child’s lead, extends utterances</w:t>
      </w:r>
    </w:p>
    <w:p>
      <w:pPr>
        <w:pStyle w:val="ListParagraph"/>
        <w:numPr>
          <w:ilvl w:val="0"/>
          <w:numId w:val="2"/>
        </w:numPr>
        <w:spacing w:after="60"/>
      </w:pPr>
      <w:r>
        <w:t xml:space="preserve">Creates learning moments from daily activities</w:t>
      </w:r>
    </w:p>
    <w:p>
      <w:pPr>
        <w:pStyle w:val="Heading3"/>
      </w:pPr>
      <w:r>
        <w:t xml:space="preserve">Opportunity:</w:t>
      </w:r>
    </w:p>
    <w:p>
      <w:pPr>
        <w:pStyle w:val="ListParagraph"/>
        <w:numPr>
          <w:ilvl w:val="0"/>
          <w:numId w:val="2"/>
        </w:numPr>
        <w:spacing w:after="60"/>
      </w:pPr>
      <w:r>
        <w:t xml:space="preserve">Seeks out play materials, creates designated play space</w:t>
      </w:r>
    </w:p>
    <w:p>
      <w:pPr>
        <w:pStyle w:val="ListParagraph"/>
        <w:numPr>
          <w:ilvl w:val="0"/>
          <w:numId w:val="2"/>
        </w:numPr>
        <w:spacing w:after="60"/>
      </w:pPr>
      <w:r>
        <w:t xml:space="preserve">Maintains contact with 3+ program peers outside sessions</w:t>
      </w:r>
    </w:p>
    <w:p>
      <w:pPr>
        <w:pStyle w:val="ListParagraph"/>
        <w:numPr>
          <w:ilvl w:val="0"/>
          <w:numId w:val="2"/>
        </w:numPr>
        <w:spacing w:after="60"/>
      </w:pPr>
      <w:r>
        <w:t xml:space="preserve">Accesses health services, follows referrals</w:t>
      </w:r>
    </w:p>
    <w:p>
      <w:pPr>
        <w:pStyle w:val="Heading3"/>
      </w:pPr>
      <w:r>
        <w:t xml:space="preserve">Motivation:</w:t>
      </w:r>
    </w:p>
    <w:p>
      <w:pPr>
        <w:pStyle w:val="ListParagraph"/>
        <w:numPr>
          <w:ilvl w:val="0"/>
          <w:numId w:val="2"/>
        </w:numPr>
        <w:spacing w:after="60"/>
      </w:pPr>
      <w:r>
        <w:t xml:space="preserve">Prioritizes daily interaction time despite competing demands</w:t>
      </w:r>
    </w:p>
    <w:p>
      <w:pPr>
        <w:pStyle w:val="ListParagraph"/>
        <w:numPr>
          <w:ilvl w:val="0"/>
          <w:numId w:val="2"/>
        </w:numPr>
        <w:spacing w:after="60"/>
      </w:pPr>
      <w:r>
        <w:t xml:space="preserve">Uses positive discipline instead of harsh punishment</w:t>
      </w:r>
    </w:p>
    <w:p>
      <w:pPr>
        <w:pStyle w:val="ListParagraph"/>
        <w:numPr>
          <w:ilvl w:val="0"/>
          <w:numId w:val="2"/>
        </w:numPr>
        <w:spacing w:after="60"/>
      </w:pPr>
      <w:r>
        <w:t xml:space="preserve">Shares learning with spouse/grandmother</w:t>
      </w:r>
    </w:p>
    <w:p>
      <w:pPr>
        <w:pStyle w:val="Heading2"/>
      </w:pPr>
      <w:r>
        <w:t xml:space="preserve">Answer Key — Health Center Staff</w:t>
      </w:r>
    </w:p>
    <w:p>
      <w:pPr>
        <w:pStyle w:val="ListParagraph"/>
        <w:numPr>
          <w:ilvl w:val="0"/>
          <w:numId w:val="2"/>
        </w:numPr>
        <w:spacing w:after="60"/>
      </w:pPr>
      <w:r>
        <w:t xml:space="preserve">Integrates developmental guidance into routine growth monitoring</w:t>
      </w:r>
    </w:p>
    <w:p>
      <w:pPr>
        <w:pStyle w:val="ListParagraph"/>
        <w:numPr>
          <w:ilvl w:val="0"/>
          <w:numId w:val="2"/>
        </w:numPr>
        <w:spacing w:after="60"/>
      </w:pPr>
      <w:r>
        <w:t xml:space="preserve">Administers ASQ-3 at designated ages and explains results</w:t>
      </w:r>
    </w:p>
    <w:p>
      <w:pPr>
        <w:pStyle w:val="ListParagraph"/>
        <w:numPr>
          <w:ilvl w:val="0"/>
          <w:numId w:val="2"/>
        </w:numPr>
        <w:spacing w:after="60"/>
      </w:pPr>
      <w:r>
        <w:t xml:space="preserve">Provides nutrition counseling connected to development</w:t>
      </w:r>
    </w:p>
    <w:p>
      <w:pPr>
        <w:pStyle w:val="Heading2"/>
      </w:pPr>
      <w:r>
        <w:t xml:space="preserve">Answer Key — Children (Discussion Point)</w:t>
      </w:r>
    </w:p>
    <w:p>
      <w:r>
        <w:t xml:space="preserve">Children are the ultimate target but do NOT engage in program-induced “behaviors.” We measure their developmental outcomes (language, motor, social-emotional) as indicators that the ToC is producing results.</w:t>
      </w:r>
    </w:p>
    <w:p>
      <w:r>
        <w:br w:type="page"/>
      </w:r>
    </w:p>
    <w:p>
      <w:pPr/>
      <w:r>
        <w:rPr/>
        <w:t xml:space="preserve"/>
      </w:r>
    </w:p>
    <w:p>
      <w:pPr/>
      <w:r>
        <w:rPr>
          <w:i/>
        </w:rPr>
        <w:t xml:space="preserve">In Exercise 3, participants will take these actor-specific behaviors and arrange them into a single causal pathway — connecting program outputs to behavioral changes to child outcomes. The behaviors defined above become the arrows in the causal chain: each one is a testable link. If a behavior does not occur, the chain breaks at that point. This is why specifying behaviors precisely in Exercise 2 is essential before constructing the pathway in Exercise 3.</w:t>
      </w:r>
    </w:p>
    <w:p>
      <w:pPr/>
      <w:r>
        <w:rPr/>
        <w:t xml:space="preserve"/>
      </w:r>
    </w:p>
    <w:p>
      <w:pPr/>
      <w:r>
        <w:rPr>
          <w:b/>
          <w:sz w:val="22"/>
          <w:color w:val="1F4E79"/>
        </w:rPr>
        <w:t xml:space="preserve">BRIDGE TO EXERCISE 3: FROM BEHAVIORS TO CAUSAL CHAIN</w:t>
      </w:r>
    </w:p>
    <w:p>
      <w:pPr/>
      <w:r>
        <w:rPr/>
        <w:t xml:space="preserve"/>
      </w:r>
    </w:p>
    <w:p>
      <w:pPr/>
      <w:r>
        <w:rPr/>
        <w:t xml:space="preserve">Organizing behaviors by actor ensures that the Theory of Change specifies whose behavior must change and what each actor must do differently. Without this, ToCs remain vague ("capacity is built") and untestable. Actor-specific behaviors: (1) make the ToC evaluable — each behavior can be measured with a specific indicator; (2) reveal the indirect pathway — the program reaches facilitators and caregivers, but the ultimate target is the child; (3) expose dependencies — facilitator quality affects caregiver capability, which affects child outcomes; (4) enable contribution analysis — if outcomes improve but specific behaviors did not change, the program's contribution claim weakens. In short: behaviors organized by actor turn the ToC from a diagram into a testable causal argument.</w:t>
      </w:r>
    </w:p>
    <w:p>
      <w:pPr/>
      <w:r>
        <w:rPr/>
        <w:t xml:space="preserve"/>
      </w:r>
    </w:p>
    <w:p>
      <w:pPr/>
      <w:r>
        <w:rPr>
          <w:b/>
          <w:sz w:val="22"/>
          <w:color w:val="1F4E79"/>
        </w:rPr>
        <w:t xml:space="preserve">PEDAGOGICAL RATIONALE: WHY ORGANIZE BEHAVIORS BY ACTOR?</w:t>
      </w:r>
    </w:p>
    <w:p>
      <w:pPr/>
      <w:r>
        <w:rPr/>
        <w:t xml:space="preserve"/>
      </w:r>
    </w:p>
    <w:p>
      <w:pPr>
        <w:pStyle w:val="Heading1"/>
      </w:pPr>
      <w:r>
        <w:t xml:space="preserve">EXERCISE 3: CONSTRUCT CAUSAL PATHWAY</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Read “Evidence-Informed Program Design” for the 4-component structure.</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Working as a plenary, construct the full causal pathway. The facilitator guides step-by-step: (1) What outputs does the program produce? (2) What behavioral changes follow? (3) What child outcomes result? At each step, participants propose elements before the facilitator consolidates.</w:t>
      </w:r>
    </w:p>
    <w:p>
      <w:r>
        <w:t xml:space="preserve">TIME: 30 min (plenary, flipchart/slides)</w:t>
      </w:r>
    </w:p>
    <w:p/>
    <w:p>
      <w:pPr>
        <w:pStyle w:val="Heading2"/>
      </w:pPr>
      <w:r>
        <w:t xml:space="preserve">Step 1: Inputs → Outputs</w:t>
      </w:r>
    </w:p>
    <w:p>
      <w:pPr>
        <w:spacing w:after="120"/>
      </w:pPr>
      <w:r>
        <w:rPr>
          <w:b/>
          <w:bCs/>
        </w:rPr>
        <w:t xml:space="preserve">PROMPT: “What outputs does the program produce from its inputs?”</w:t>
      </w:r>
    </w:p>
    <w:p>
      <w:r>
        <w:t xml:space="preserve">Let participants propose, then consolidate:</w:t>
      </w:r>
    </w:p>
    <w:p>
      <w:pPr>
        <w:pStyle w:val="ListParagraph"/>
        <w:numPr>
          <w:ilvl w:val="0"/>
          <w:numId w:val="2"/>
        </w:numPr>
        <w:spacing w:after="60"/>
      </w:pPr>
      <w:r>
        <w:t xml:space="preserve">Parenting sessions delivered</w:t>
      </w:r>
    </w:p>
    <w:p>
      <w:pPr>
        <w:pStyle w:val="ListParagraph"/>
        <w:numPr>
          <w:ilvl w:val="0"/>
          <w:numId w:val="2"/>
        </w:numPr>
        <w:spacing w:after="60"/>
      </w:pPr>
      <w:r>
        <w:t xml:space="preserve">Home visits conducted</w:t>
      </w:r>
    </w:p>
    <w:p>
      <w:pPr>
        <w:pStyle w:val="ListParagraph"/>
        <w:numPr>
          <w:ilvl w:val="0"/>
          <w:numId w:val="2"/>
        </w:numPr>
        <w:spacing w:after="60"/>
      </w:pPr>
      <w:r>
        <w:t xml:space="preserve">Growth monitoring + developmental screening at health centers</w:t>
      </w:r>
    </w:p>
    <w:p>
      <w:pPr>
        <w:pStyle w:val="ListParagraph"/>
        <w:numPr>
          <w:ilvl w:val="0"/>
          <w:numId w:val="2"/>
        </w:numPr>
        <w:spacing w:after="60"/>
      </w:pPr>
      <w:r>
        <w:t xml:space="preserve">Learning center sessions</w:t>
      </w:r>
    </w:p>
    <w:p>
      <w:pPr>
        <w:pStyle w:val="ListParagraph"/>
        <w:numPr>
          <w:ilvl w:val="0"/>
          <w:numId w:val="2"/>
        </w:numPr>
        <w:spacing w:after="60"/>
      </w:pPr>
      <w:r>
        <w:t xml:space="preserve">Materials distributed</w:t>
      </w:r>
    </w:p>
    <w:p>
      <w:pPr>
        <w:pStyle w:val="Heading2"/>
      </w:pPr>
      <w:r>
        <w:t xml:space="preserve">Step 2: Outputs → Behavioral Change (CRITICAL LINK)</w:t>
      </w:r>
    </w:p>
    <w:p>
      <w:pPr>
        <w:spacing w:after="120"/>
      </w:pPr>
      <w:r>
        <w:rPr>
          <w:b/>
          <w:bCs/>
        </w:rPr>
        <w:t xml:space="preserve">PROMPT: “Sessions are delivered. What changes in caregiver behavior?”</w:t>
      </w:r>
    </w:p>
    <w:p>
      <w:r>
        <w:t xml:space="preserve">Guide toward COM-B: IF sessions delivered with quality AND caregivers attend, THEN:</w:t>
      </w:r>
    </w:p>
    <w:p>
      <w:pPr>
        <w:pStyle w:val="ListParagraph"/>
        <w:numPr>
          <w:ilvl w:val="0"/>
          <w:numId w:val="2"/>
        </w:numPr>
        <w:spacing w:after="60"/>
      </w:pPr>
      <w:r>
        <w:rPr>
          <w:b/>
          <w:bCs/>
        </w:rPr>
        <w:t xml:space="preserve">Capability: </w:t>
      </w:r>
      <w:r>
        <w:t xml:space="preserve">Caregivers gain knowledge + skills + confidence</w:t>
      </w:r>
    </w:p>
    <w:p>
      <w:pPr>
        <w:pStyle w:val="ListParagraph"/>
        <w:numPr>
          <w:ilvl w:val="0"/>
          <w:numId w:val="2"/>
        </w:numPr>
        <w:spacing w:after="60"/>
      </w:pPr>
      <w:r>
        <w:rPr>
          <w:b/>
          <w:bCs/>
        </w:rPr>
        <w:t xml:space="preserve">Opportunity: </w:t>
      </w:r>
      <w:r>
        <w:t xml:space="preserve">Materials available + peer networks form + isolation reduced</w:t>
      </w:r>
    </w:p>
    <w:p>
      <w:pPr>
        <w:pStyle w:val="ListParagraph"/>
        <w:numPr>
          <w:ilvl w:val="0"/>
          <w:numId w:val="2"/>
        </w:numPr>
        <w:spacing w:after="60"/>
      </w:pPr>
      <w:r>
        <w:rPr>
          <w:b/>
          <w:bCs/>
        </w:rPr>
        <w:t xml:space="preserve">Motivation: </w:t>
      </w:r>
      <w:r>
        <w:t xml:space="preserve">Beliefs change + emotional rewards experienced + new identity</w:t>
      </w:r>
    </w:p>
    <w:p>
      <w:r>
        <w:t xml:space="preserve">WHEN all three align → behavior changes: more responsive interaction, positive discipline, enriched home environment.</w:t>
      </w:r>
    </w:p>
    <w:p>
      <w:pPr>
        <w:spacing w:after="120"/>
      </w:pPr>
      <w:r>
        <w:rPr>
          <w:b/>
          <w:bCs/>
        </w:rPr>
        <w:t xml:space="preserve">CRITICAL TEACHING POINT:</w:t>
      </w:r>
    </w:p>
    <w:p>
      <w:r>
        <w:t xml:space="preserve">This step is where many ToCs fail. They jump from “training delivered” to “outcomes improved.” Force participants to articulate: WHOSE behavior changes? WHAT specifically? HOW do we know?</w:t>
      </w:r>
    </w:p>
    <w:p>
      <w:pPr>
        <w:spacing w:after="80"/>
      </w:pPr>
      <w:r>
        <w:rPr>
          <w:i/>
          <w:iCs/>
          <w:color w:val="666666"/>
          <w:sz w:val="20"/>
          <w:szCs w:val="20"/>
        </w:rPr>
        <w:t xml:space="preserve">Teaching note on time: remind participants that outcomes take time. Capability builds first (months 0–3), behavior emerges (months 3–6), consolidates (months 6–9), child outcomes appear (months 9–12+).</w:t>
      </w:r>
    </w:p>
    <w:p>
      <w:pPr>
        <w:pStyle w:val="Heading2"/>
      </w:pPr>
      <w:r>
        <w:t xml:space="preserve">Step 3: Behavioral Change → Child Outcomes</w:t>
      </w:r>
    </w:p>
    <w:p>
      <w:pPr>
        <w:spacing w:after="120"/>
      </w:pPr>
      <w:r>
        <w:rPr>
          <w:b/>
          <w:bCs/>
        </w:rPr>
        <w:t xml:space="preserve">PROMPT: “If caregiver behavior changes, what happens to children?”</w:t>
      </w:r>
    </w:p>
    <w:p>
      <w:pPr>
        <w:pStyle w:val="ListParagraph"/>
        <w:numPr>
          <w:ilvl w:val="0"/>
          <w:numId w:val="2"/>
        </w:numPr>
        <w:spacing w:after="60"/>
      </w:pPr>
      <w:r>
        <w:t xml:space="preserve">Language development accelerates</w:t>
      </w:r>
    </w:p>
    <w:p>
      <w:pPr>
        <w:pStyle w:val="ListParagraph"/>
        <w:numPr>
          <w:ilvl w:val="0"/>
          <w:numId w:val="2"/>
        </w:numPr>
        <w:spacing w:after="60"/>
      </w:pPr>
      <w:r>
        <w:t xml:space="preserve">Motor skills improve</w:t>
      </w:r>
    </w:p>
    <w:p>
      <w:pPr>
        <w:pStyle w:val="ListParagraph"/>
        <w:numPr>
          <w:ilvl w:val="0"/>
          <w:numId w:val="2"/>
        </w:numPr>
        <w:spacing w:after="60"/>
      </w:pPr>
      <w:r>
        <w:t xml:space="preserve">Social-emotional development strengthens</w:t>
      </w:r>
    </w:p>
    <w:p>
      <w:pPr>
        <w:pStyle w:val="ListParagraph"/>
        <w:numPr>
          <w:ilvl w:val="0"/>
          <w:numId w:val="2"/>
        </w:numPr>
        <w:spacing w:after="60"/>
      </w:pPr>
      <w:r>
        <w:t xml:space="preserve">Cognitive development enhanced</w:t>
      </w:r>
    </w:p>
    <w:p>
      <w:r>
        <w:t xml:space="preserve">TARGET: 65% achieve age-appropriate development on ASQ-3 by month 24 (vs 35% baseline).</w:t>
      </w:r>
    </w:p>
    <w:p>
      <w:r>
        <w:br w:type="page"/>
      </w:r>
    </w:p>
    <w:p>
      <w:pPr>
        <w:pStyle w:val="Heading1"/>
      </w:pPr>
      <w:r>
        <w:t xml:space="preserve">EXERCISE 4: IDENTIFY CRITICAL ASSUMPTIONS</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Read “The Challenge: What Mendoza Found” + “Family Listening Sessions.”</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For each link in the causal chain, identify the assumption that must hold. Use format: “IF [this happens], THEN [that follows], ASSUMING [critical condition].” What happens if the assumption is violated?</w:t>
      </w:r>
    </w:p>
    <w:p>
      <w:r>
        <w:t xml:space="preserve">TIME: 20 min (groups assigned links) + 10 min (share)</w:t>
      </w:r>
    </w:p>
    <w:p/>
    <w:p>
      <w:pPr>
        <w:pStyle w:val="Heading2"/>
      </w:pPr>
      <w:r>
        <w:t xml:space="preserve">Link 1: Inputs → Outputs</w:t>
      </w:r>
    </w:p>
    <w:p>
      <w:pPr>
        <w:pStyle w:val="ListParagraph"/>
        <w:numPr>
          <w:ilvl w:val="0"/>
          <w:numId w:val="2"/>
        </w:numPr>
        <w:spacing w:after="60"/>
      </w:pPr>
      <w:r>
        <w:rPr>
          <w:b/>
          <w:bCs/>
        </w:rPr>
        <w:t xml:space="preserve">Assumption 1: </w:t>
      </w:r>
      <w:r>
        <w:t xml:space="preserve">Facilitators can be recruited, trained, and retained</w:t>
      </w:r>
    </w:p>
    <w:p>
      <w:pPr>
        <w:pStyle w:val="ListParagraph"/>
        <w:numPr>
          <w:ilvl w:val="0"/>
          <w:numId w:val="2"/>
        </w:numPr>
        <w:spacing w:after="60"/>
      </w:pPr>
      <w:r>
        <w:rPr>
          <w:b/>
          <w:bCs/>
        </w:rPr>
        <w:t xml:space="preserve">Assumption 2: </w:t>
      </w:r>
      <w:r>
        <w:t xml:space="preserve">Municipalities provide space and logistical support</w:t>
      </w:r>
    </w:p>
    <w:p>
      <w:pPr>
        <w:pStyle w:val="ListParagraph"/>
        <w:numPr>
          <w:ilvl w:val="0"/>
          <w:numId w:val="2"/>
        </w:numPr>
        <w:spacing w:after="60"/>
      </w:pPr>
      <w:r>
        <w:rPr>
          <w:b/>
          <w:bCs/>
        </w:rPr>
        <w:t xml:space="preserve">Assumption 3: </w:t>
      </w:r>
      <w:r>
        <w:t xml:space="preserve">Health centers have capacity to add services</w:t>
      </w:r>
    </w:p>
    <w:p>
      <w:pPr>
        <w:pStyle w:val="Heading2"/>
      </w:pPr>
      <w:r>
        <w:t xml:space="preserve">Link 2: Outputs → Behavior Change (MOST CRITICAL)</w:t>
      </w:r>
    </w:p>
    <w:p>
      <w:pPr>
        <w:pStyle w:val="ListParagraph"/>
        <w:numPr>
          <w:ilvl w:val="0"/>
          <w:numId w:val="2"/>
        </w:numPr>
        <w:spacing w:after="60"/>
      </w:pPr>
      <w:r>
        <w:rPr>
          <w:b/>
          <w:bCs/>
        </w:rPr>
        <w:t xml:space="preserve">Assumption 4: </w:t>
      </w:r>
      <w:r>
        <w:t xml:space="preserve">Caregivers attend regularly (≥70% of sessions). Risk: poverty, transport, family opposition</w:t>
      </w:r>
    </w:p>
    <w:p>
      <w:pPr>
        <w:pStyle w:val="ListParagraph"/>
        <w:numPr>
          <w:ilvl w:val="0"/>
          <w:numId w:val="2"/>
        </w:numPr>
        <w:spacing w:after="60"/>
      </w:pPr>
      <w:r>
        <w:rPr>
          <w:b/>
          <w:bCs/>
        </w:rPr>
        <w:t xml:space="preserve">Assumption 5: </w:t>
      </w:r>
      <w:r>
        <w:t xml:space="preserve">Knowledge/skills translate to daily practice. Risk: knowing ≠ doing</w:t>
      </w:r>
    </w:p>
    <w:p>
      <w:pPr>
        <w:pStyle w:val="ListParagraph"/>
        <w:numPr>
          <w:ilvl w:val="0"/>
          <w:numId w:val="2"/>
        </w:numPr>
        <w:spacing w:after="60"/>
      </w:pPr>
      <w:r>
        <w:rPr>
          <w:b/>
          <w:bCs/>
        </w:rPr>
        <w:t xml:space="preserve">Assumption 6: </w:t>
      </w:r>
      <w:r>
        <w:t xml:space="preserve">Changed behavior sustains after program ends. Risk: practices fade without support</w:t>
      </w:r>
    </w:p>
    <w:p>
      <w:pPr>
        <w:pStyle w:val="Heading2"/>
      </w:pPr>
      <w:r>
        <w:t xml:space="preserve">Link 3: Behavior Change → Outcomes</w:t>
      </w:r>
    </w:p>
    <w:p>
      <w:pPr>
        <w:pStyle w:val="ListParagraph"/>
        <w:numPr>
          <w:ilvl w:val="0"/>
          <w:numId w:val="2"/>
        </w:numPr>
        <w:spacing w:after="60"/>
      </w:pPr>
      <w:r>
        <w:rPr>
          <w:b/>
          <w:bCs/>
        </w:rPr>
        <w:t xml:space="preserve">Assumption 7: </w:t>
      </w:r>
      <w:r>
        <w:t xml:space="preserve">Dosage and quality of changed interaction is sufficient</w:t>
      </w:r>
    </w:p>
    <w:p>
      <w:pPr>
        <w:pStyle w:val="ListParagraph"/>
        <w:numPr>
          <w:ilvl w:val="0"/>
          <w:numId w:val="2"/>
        </w:numPr>
        <w:spacing w:after="60"/>
      </w:pPr>
      <w:r>
        <w:rPr>
          <w:b/>
          <w:bCs/>
        </w:rPr>
        <w:t xml:space="preserve">Assumption 8: </w:t>
      </w:r>
      <w:r>
        <w:t xml:space="preserve">No overwhelming adversities swamp parenting improvements</w:t>
      </w:r>
    </w:p>
    <w:p>
      <w:r>
        <w:br w:type="page"/>
      </w:r>
    </w:p>
    <w:p>
      <w:pPr>
        <w:pStyle w:val="Heading1"/>
      </w:pPr>
      <w:r>
        <w:t xml:space="preserve">EXERCISE 5: CONNECTING ToC TO CONTRIBUTION ANALYSIS</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Read “Why Evaluation Matters: The Decision-Makers’ Questions.”</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Discuss: If child development improves, how does our ToC help us determine whether the program contributed? How do assumptions help? This exercise previews the logic that will be developed in Sessions 3–5.</w:t>
      </w:r>
    </w:p>
    <w:p>
      <w:r>
        <w:t xml:space="preserve">TIME: 15 min (facilitated discussion)</w:t>
      </w:r>
    </w:p>
    <w:p/>
    <w:p>
      <w:pPr>
        <w:spacing w:after="120"/>
      </w:pPr>
      <w:r>
        <w:rPr>
          <w:b/>
          <w:bCs/>
        </w:rPr>
        <w:t xml:space="preserve">Key discussion points:</w:t>
      </w:r>
    </w:p>
    <w:p>
      <w:pPr>
        <w:pStyle w:val="ListParagraph"/>
        <w:numPr>
          <w:ilvl w:val="0"/>
          <w:numId w:val="2"/>
        </w:numPr>
        <w:spacing w:after="60"/>
      </w:pPr>
      <w:r>
        <w:t xml:space="preserve">We can test whether expected mechanisms functioned (knowledge surveys, peer network surveys, time-use data, observation rubrics)</w:t>
      </w:r>
    </w:p>
    <w:p>
      <w:pPr>
        <w:pStyle w:val="ListParagraph"/>
        <w:numPr>
          <w:ilvl w:val="0"/>
          <w:numId w:val="2"/>
        </w:numPr>
        <w:spacing w:after="60"/>
      </w:pPr>
      <w:r>
        <w:t xml:space="preserve">Assumptions become testable hypotheses — if violated, they explain weak results</w:t>
      </w:r>
    </w:p>
    <w:p>
      <w:pPr>
        <w:pStyle w:val="ListParagraph"/>
        <w:numPr>
          <w:ilvl w:val="0"/>
          <w:numId w:val="2"/>
        </w:numPr>
        <w:spacing w:after="60"/>
      </w:pPr>
      <w:r>
        <w:t xml:space="preserve">Specifying behaviors helps rule out alternative explanations (natural development, selection bias)</w:t>
      </w:r>
    </w:p>
    <w:p>
      <w:pPr>
        <w:spacing w:after="120"/>
      </w:pPr>
      <w:r>
        <w:rPr>
          <w:b/>
          <w:bCs/>
        </w:rPr>
        <w:t xml:space="preserve">KEY TAKEAWAYS:</w:t>
      </w:r>
    </w:p>
    <w:p>
      <w:pPr>
        <w:pStyle w:val="ListParagraph"/>
        <w:numPr>
          <w:ilvl w:val="0"/>
          <w:numId w:val="2"/>
        </w:numPr>
        <w:spacing w:after="60"/>
      </w:pPr>
      <w:r>
        <w:t xml:space="preserve">ToC is a testable theory about HOW change occurs, not just a diagram</w:t>
      </w:r>
    </w:p>
    <w:p>
      <w:pPr>
        <w:pStyle w:val="ListParagraph"/>
        <w:numPr>
          <w:ilvl w:val="0"/>
          <w:numId w:val="2"/>
        </w:numPr>
        <w:spacing w:after="60"/>
      </w:pPr>
      <w:r>
        <w:t xml:space="preserve">Behavior change is the mechanism — specify whose, what, how measured</w:t>
      </w:r>
    </w:p>
    <w:p>
      <w:pPr>
        <w:pStyle w:val="ListParagraph"/>
        <w:numPr>
          <w:ilvl w:val="0"/>
          <w:numId w:val="2"/>
        </w:numPr>
        <w:spacing w:after="60"/>
      </w:pPr>
      <w:r>
        <w:t xml:space="preserve">COM-B provides structure; assumptions identify where the ToC can break</w:t>
      </w:r>
    </w:p>
    <w:p>
      <w:pPr>
        <w:pStyle w:val="ListParagraph"/>
        <w:numPr>
          <w:ilvl w:val="0"/>
          <w:numId w:val="2"/>
        </w:numPr>
        <w:spacing w:after="60"/>
      </w:pPr>
      <w:r>
        <w:t xml:space="preserve">Good ToC enables contribution analysis by making mechanisms testable</w:t>
      </w:r>
    </w:p>
    <w:p/>
    <w:p>
      <w:pPr>
        <w:pStyle w:val="Heading2"/>
      </w:pPr>
      <w:r>
        <w:t xml:space="preserve">Connection to Next Sessions</w:t>
      </w:r>
    </w:p>
    <w:p>
      <w:pPr>
        <w:pStyle w:val="ListParagraph"/>
        <w:numPr>
          <w:ilvl w:val="0"/>
          <w:numId w:val="2"/>
        </w:numPr>
        <w:spacing w:after="60"/>
      </w:pPr>
      <w:r>
        <w:rPr>
          <w:b/>
          <w:bCs/>
        </w:rPr>
        <w:t xml:space="preserve">Session 2: </w:t>
      </w:r>
      <w:r>
        <w:t xml:space="preserve">Translate this ToC into specific indicators</w:t>
      </w:r>
    </w:p>
    <w:p>
      <w:pPr>
        <w:pStyle w:val="ListParagraph"/>
        <w:numPr>
          <w:ilvl w:val="0"/>
          <w:numId w:val="2"/>
        </w:numPr>
        <w:spacing w:after="60"/>
      </w:pPr>
      <w:r>
        <w:rPr>
          <w:b/>
          <w:bCs/>
        </w:rPr>
        <w:t xml:space="preserve">Session 3: </w:t>
      </w:r>
      <w:r>
        <w:t xml:space="preserve">Qualitative methods to test HOW and WHY mechanisms work</w:t>
      </w:r>
    </w:p>
    <w:p>
      <w:pPr>
        <w:pStyle w:val="ListParagraph"/>
        <w:numPr>
          <w:ilvl w:val="0"/>
          <w:numId w:val="2"/>
        </w:numPr>
        <w:spacing w:after="60"/>
      </w:pPr>
      <w:r>
        <w:rPr>
          <w:b/>
          <w:bCs/>
        </w:rPr>
        <w:t xml:space="preserve">Session 4: </w:t>
      </w:r>
      <w:r>
        <w:t xml:space="preserve">Quantitative evidence for behavior change and outcomes</w:t>
      </w:r>
    </w:p>
    <w:p>
      <w:pPr>
        <w:pStyle w:val="ListParagraph"/>
        <w:numPr>
          <w:ilvl w:val="0"/>
          <w:numId w:val="2"/>
        </w:numPr>
        <w:spacing w:after="60"/>
      </w:pPr>
      <w:r>
        <w:rPr>
          <w:b/>
          <w:bCs/>
        </w:rPr>
        <w:t xml:space="preserve">Session 5: </w:t>
      </w:r>
      <w:r>
        <w:t xml:space="preserve">Synthesize all evidence to assess contribution claim strength</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color w:val="999999"/>
        <w:sz w:val="16"/>
        <w:szCs w:val="16"/>
      </w:rPr>
      <w:t xml:space="preserve">Prepared for Inter-American Development Bank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color w:val="999999"/>
        <w:sz w:val="16"/>
        <w:szCs w:val="16"/>
      </w:rPr>
      <w:t xml:space="preserve">EVALAC I — Cheat Sheet — Session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alibri" w:cs="Calibri" w:eastAsia="Calibri" w:hAnsi="Calibri"/>
      <w:b/>
      <w:bCs/>
      <w:color w:val="1F3864"/>
      <w:sz w:val="28"/>
      <w:szCs w:val="28"/>
    </w:rPr>
  </w:style>
  <w:style w:type="paragraph" w:styleId="Heading2">
    <w:name w:val="Heading 2"/>
    <w:basedOn w:val="Normal"/>
    <w:next w:val="Normal"/>
    <w:qFormat/>
    <w:pPr>
      <w:spacing w:before="240" w:after="120"/>
      <w:outlineLvl w:val="1"/>
    </w:pPr>
    <w:rPr>
      <w:rFonts w:ascii="Calibri" w:cs="Calibri" w:eastAsia="Calibri" w:hAnsi="Calibri"/>
      <w:b/>
      <w:bCs/>
      <w:color w:val="2E75B6"/>
      <w:sz w:val="24"/>
      <w:szCs w:val="24"/>
    </w:rPr>
  </w:style>
  <w:style w:type="paragraph" w:styleId="Heading3">
    <w:name w:val="Heading 3"/>
    <w:basedOn w:val="Normal"/>
    <w:next w:val="Normal"/>
    <w:qFormat/>
    <w:pPr>
      <w:spacing w:before="200" w:after="100"/>
      <w:outlineLvl w:val="2"/>
    </w:pPr>
    <w:rPr>
      <w:rFonts w:ascii="Calibri" w:cs="Calibri" w:eastAsia="Calibri" w:hAnsi="Calibri"/>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2026-02-27T20:38:05.470Z</dcterms:created>
  <dcterms:modified xsi:type="dcterms:W3CDTF">2026-02-27T20:38:05.470Z</dcterms:modified>
</cp:coreProperties>
</file>

<file path=docProps/custom.xml><?xml version="1.0" encoding="utf-8"?>
<Properties xmlns="http://schemas.openxmlformats.org/officeDocument/2006/custom-properties" xmlns:vt="http://schemas.openxmlformats.org/officeDocument/2006/docPropsVTypes"/>
</file>