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Radar de Políticas Municipais</w:t>
      </w:r>
    </w:p>
    <w:p>
      <w:pPr>
        <w:spacing w:after="80"/>
        <w:jc w:val="center"/>
      </w:pPr>
      <w:r>
        <w:rPr>
          <w:i/>
          <w:iCs/>
          <w:sz w:val="26"/>
          <w:szCs w:val="26"/>
        </w:rPr>
        <w:t xml:space="preserve">Proposta de bem público para o CLEAR</w:t>
      </w:r>
    </w:p>
    <w:p>
      <w:pPr>
        <w:spacing w:after="480"/>
        <w:jc w:val="center"/>
      </w:pPr>
      <w:r>
        <w:rPr>
          <w:color w:val="666666"/>
          <w:sz w:val="20"/>
          <w:szCs w:val="20"/>
        </w:rPr>
        <w:t xml:space="preserve">Versão de trabalho — acompanha protótipo executável</w:t>
      </w:r>
    </w:p>
    <w:p>
      <w:pPr>
        <w:pStyle w:val="Heading1"/>
        <w:spacing w:after="200" w:before="320"/>
      </w:pPr>
      <w:r>
        <w:t xml:space="preserve">1. Sumário executivo</w:t>
      </w:r>
    </w:p>
    <w:p>
      <w:pPr>
        <w:spacing w:after="160" w:line="320"/>
      </w:pPr>
      <w:r>
        <w:t xml:space="preserve">O Brasil produz, todos os dias, milhares de registros administrativos sobre políticas públicas municipais — contratações, transferências, despesas orçamentárias, atos normativos, prestações de contas setoriais. Essas informações existem em fontes oficiais (PNCP, Transferegov, SIOPS, SIOPE, Censo SUAS, diários oficiais), mas estão fragmentadas em sistemas que não se conversam e em formatos que não permitem leitura temática.</w:t>
      </w:r>
    </w:p>
    <w:p>
      <w:pPr>
        <w:spacing w:after="160" w:line="320"/>
      </w:pPr>
      <w:r>
        <w:t xml:space="preserve">Esta proposta apresenta o Radar de Políticas Municipais: uma camada de agregação e classificação que organiza esses registros dispersos por agenda de política pública, com taxonomia transparente e metodologia auditável. O entregável final é um bem público — base aberta, código aberto, metodologia documentada — útil para gestores municipais que querem ver o que pares estão fazendo, pesquisadores que precisam identificar casos de implementação, e o próprio CLEAR para mapear oportunidades de avaliação.</w:t>
      </w:r>
    </w:p>
    <w:p>
      <w:pPr>
        <w:spacing w:after="160" w:line="320"/>
      </w:pPr>
      <w:r>
        <w:t xml:space="preserve">Acompanha esta proposta um protótipo funcional que demonstra o pipeline end-to-end (PNCP → classificação por taxonomia → base agregada → dashboard exploratório) sobre uma amostra real de 2.700 contratos públicos de um dia útil, com taxonomia versionada cobrindo quatro agendas: primeira infância, busca ativa escolar, segurança alimentar e saúde mental.</w:t>
      </w:r>
    </w:p>
    <w:p>
      <w:pPr>
        <w:pStyle w:val="Heading1"/>
        <w:spacing w:after="200" w:before="320"/>
      </w:pPr>
      <w:r>
        <w:t xml:space="preserve">2. Diagnóstico</w:t>
      </w:r>
    </w:p>
    <w:p>
      <w:pPr>
        <w:pStyle w:val="Heading2"/>
        <w:spacing w:after="160" w:before="240"/>
      </w:pPr>
      <w:r>
        <w:t xml:space="preserve">2.1 O problema da fragmentação</w:t>
      </w:r>
    </w:p>
    <w:p>
      <w:pPr>
        <w:spacing w:after="160" w:line="320"/>
      </w:pPr>
      <w:r>
        <w:t xml:space="preserve">Hoje, para responder à pergunta "quais municípios brasileiros estão implementando políticas de primeira infância?", um pesquisador precisa consultar separadamente: o PNCP para contratações, o Transferegov para convênios federais, o SIOPE para gasto educacional, o Censo SUAS para serviços assistenciais, a base do e-PCF para o Programa Criança Feliz, o Censo Escolar para matrículas em creche, eventualmente diários oficiais municipais para atos normativos, e notícias institucionais para anúncios. Cada fonte tem padrão próprio, recortes próprios, vocabulário próprio.</w:t>
      </w:r>
    </w:p>
    <w:p>
      <w:pPr>
        <w:spacing w:after="160" w:line="320"/>
      </w:pPr>
      <w:r>
        <w:t xml:space="preserve">O resultado prático é que estudos comparativos sobre política municipal no Brasil normalmente cobrem ou pouquíssimos casos (estudo qualitativo de cinco municípios) ou poucas dimensões (apenas gasto, ou apenas uma fonte). A informação existe; o que falta é a camada que a torna tematicamente legível.</w:t>
      </w:r>
    </w:p>
    <w:p>
      <w:pPr>
        <w:pStyle w:val="Heading2"/>
        <w:spacing w:after="160" w:before="240"/>
      </w:pPr>
      <w:r>
        <w:t xml:space="preserve">2.2 O que a ferramenta NÃO se propõe a medir</w:t>
      </w:r>
    </w:p>
    <w:p>
      <w:pPr>
        <w:spacing w:after="160" w:line="320"/>
      </w:pPr>
      <w:r>
        <w:t xml:space="preserve">Ser explícito sobre o que está fora do escopo é tão importante quanto definir o escopo. Esta ferramenta não mede:</w:t>
      </w:r>
    </w:p>
    <w:p>
      <w:pPr>
        <w:pStyle w:val="ListParagraph"/>
        <w:numPr>
          <w:ilvl w:val="0"/>
          <w:numId w:val="2"/>
        </w:numPr>
        <w:spacing w:after="100" w:line="300"/>
      </w:pPr>
      <w:r>
        <w:t xml:space="preserve">Qualidade de implementação. Um contrato existe ou não; o contrato ter produzido resultado é outra pergunta, normalmente respondida por avaliação.</w:t>
      </w:r>
    </w:p>
    <w:p>
      <w:pPr>
        <w:pStyle w:val="ListParagraph"/>
        <w:numPr>
          <w:ilvl w:val="0"/>
          <w:numId w:val="2"/>
        </w:numPr>
        <w:spacing w:after="100" w:line="300"/>
      </w:pPr>
      <w:r>
        <w:t xml:space="preserve">Cobertura populacional efetiva. Cinco creches contratadas em um município não dizem se a fila de vagas zerou.</w:t>
      </w:r>
    </w:p>
    <w:p>
      <w:pPr>
        <w:pStyle w:val="ListParagraph"/>
        <w:numPr>
          <w:ilvl w:val="0"/>
          <w:numId w:val="2"/>
        </w:numPr>
        <w:spacing w:after="100" w:line="300"/>
      </w:pPr>
      <w:r>
        <w:t xml:space="preserve">Adequação técnica ou orçamentária. O valor pago pode ser alto, baixo ou adequado; a ferramenta não opina.</w:t>
      </w:r>
    </w:p>
    <w:p>
      <w:pPr>
        <w:spacing w:after="160" w:line="320"/>
      </w:pPr>
      <w:r>
        <w:t xml:space="preserve">O que a ferramenta mede é intensidade de documentação: quantos registros administrativos públicos um município produziu cujo objeto declarado é compatível com uma agenda de política pública. É uma medida bem mais modesta, mas é a medida honesta dado o material disponível.</w:t>
      </w:r>
    </w:p>
    <w:p>
      <w:pPr>
        <w:pStyle w:val="Heading2"/>
        <w:spacing w:after="160" w:before="240"/>
      </w:pPr>
      <w:r>
        <w:t xml:space="preserve">2.3 Viés conhecido a tratar</w:t>
      </w:r>
    </w:p>
    <w:p>
      <w:pPr>
        <w:spacing w:after="160" w:line="320"/>
      </w:pPr>
      <w:r>
        <w:t xml:space="preserve">A correlação entre pegada documental e implementação real é fraca e enviesada: municípios com maior capacidade burocrática deixam mais rastros sistematicamente. Isso significa que qualquer ranking ingênuo vai sub-representar municípios pequenos e pobres — justamente aqueles que mais interessam para política pública.</w:t>
      </w:r>
    </w:p>
    <w:p>
      <w:pPr>
        <w:spacing w:after="160" w:line="320"/>
      </w:pPr>
      <w:r>
        <w:t xml:space="preserve">Esta limitação é estrutural e não pode ser eliminada — mas pode ser comunicada, controlada estatisticamente quando útil (cruzamento com capacidade institucional do município) e mitigada pela inclusão de fontes que dependem menos de capacidade burocrática (notícias institucionais, atos normativos).</w:t>
      </w:r>
    </w:p>
    <w:p>
      <w:pPr>
        <w:pStyle w:val="Heading1"/>
        <w:spacing w:after="200" w:before="320"/>
      </w:pPr>
      <w:r>
        <w:t xml:space="preserve">3. Solução proposta</w:t>
      </w:r>
    </w:p>
    <w:p>
      <w:pPr>
        <w:pStyle w:val="Heading2"/>
        <w:spacing w:after="160" w:before="240"/>
      </w:pPr>
      <w:r>
        <w:t xml:space="preserve">3.1 Arquitetura conceitual</w:t>
      </w:r>
    </w:p>
    <w:p>
      <w:pPr>
        <w:spacing w:after="160" w:line="320"/>
      </w:pPr>
      <w:r>
        <w:t xml:space="preserve">Quatro camadas, cada uma versionada e auditável:</w:t>
      </w:r>
    </w:p>
    <w:p>
      <w:pPr>
        <w:pStyle w:val="ListParagraph"/>
        <w:numPr>
          <w:ilvl w:val="0"/>
          <w:numId w:val="3"/>
        </w:numPr>
        <w:spacing w:after="100" w:line="300"/>
      </w:pPr>
      <w:r>
        <w:t xml:space="preserve">Camada de ingestão: clientes específicos para cada fonte oficial, com cache em disco e tratamento explícito de falhas. Hoje cobrindo PNCP; previsto Transferegov, SIOPS, SIOPE, Censo SUAS.</w:t>
      </w:r>
    </w:p>
    <w:p>
      <w:pPr>
        <w:pStyle w:val="ListParagraph"/>
        <w:numPr>
          <w:ilvl w:val="0"/>
          <w:numId w:val="3"/>
        </w:numPr>
        <w:spacing w:after="100" w:line="300"/>
      </w:pPr>
      <w:r>
        <w:t xml:space="preserve">Camada de taxonomia: artefato YAML versionado que define, para cada agenda, os subeixos, marco legal, sistemas setoriais relacionados, palavras-chave de inclusão e exclusão. Mudanças visíveis em diff.</w:t>
      </w:r>
    </w:p>
    <w:p>
      <w:pPr>
        <w:pStyle w:val="ListParagraph"/>
        <w:numPr>
          <w:ilvl w:val="0"/>
          <w:numId w:val="3"/>
        </w:numPr>
        <w:spacing w:after="100" w:line="300"/>
      </w:pPr>
      <w:r>
        <w:t xml:space="preserve">Camada de classificação: aplica a taxonomia sobre os registros ingeridos, produzindo classificações multi-eixo (um contrato pode ser simultaneamente primeira infância e segurança alimentar, e isso é proposital). Produz também a escala de intensidade de documentação.</w:t>
      </w:r>
    </w:p>
    <w:p>
      <w:pPr>
        <w:pStyle w:val="ListParagraph"/>
        <w:numPr>
          <w:ilvl w:val="0"/>
          <w:numId w:val="3"/>
        </w:numPr>
        <w:spacing w:after="100" w:line="300"/>
      </w:pPr>
      <w:r>
        <w:t xml:space="preserve">Camada de apresentação: dashboards, notebooks e base aberta. Cada output traz disclaimer metodológico explícito.</w:t>
      </w:r>
    </w:p>
    <w:p>
      <w:pPr>
        <w:pStyle w:val="Heading2"/>
        <w:spacing w:after="160" w:before="240"/>
      </w:pPr>
      <w:r>
        <w:t xml:space="preserve">3.2 Por que o CLEAR é o lugar certo</w:t>
      </w:r>
    </w:p>
    <w:p>
      <w:pPr>
        <w:spacing w:after="160" w:line="320"/>
      </w:pPr>
      <w:r>
        <w:t xml:space="preserve">O valor agregado do projeto não está nos dados — eles são públicos. Está na metodologia transparente, no rigor da taxonomia, e na explicitação das limitações epistemológicas. É exatamente o tipo de bem público que centros de avaliação produzem bem e que entidades puramente técnicas produzem mal. A ferramenta também alimenta diretamente a missão do CLEAR de mapear oportunidades de avaliação: saber onde uma política existe é o primeiro passo para avaliar se ela funciona.</w:t>
      </w:r>
    </w:p>
    <w:p>
      <w:pPr>
        <w:pStyle w:val="Heading1"/>
        <w:spacing w:after="200" w:before="320"/>
      </w:pPr>
      <w:r>
        <w:t xml:space="preserve">4. MVP entregue (este documento acompanha código executável)</w:t>
      </w:r>
    </w:p>
    <w:p>
      <w:pPr>
        <w:pStyle w:val="Heading2"/>
        <w:spacing w:after="160" w:before="240"/>
      </w:pPr>
      <w:r>
        <w:t xml:space="preserve">4.1 O que foi construído</w:t>
      </w:r>
    </w:p>
    <w:p>
      <w:pPr>
        <w:pStyle w:val="ListParagraph"/>
        <w:numPr>
          <w:ilvl w:val="0"/>
          <w:numId w:val="2"/>
        </w:numPr>
        <w:spacing w:after="100" w:line="300"/>
      </w:pPr>
      <w:r>
        <w:t xml:space="preserve">Taxonomia v0.2 em YAML cobrindo quatro agendas e 14 subeixos, com marco legal, sistemas setoriais e palavras-chave de inclusão/exclusão documentadas.</w:t>
      </w:r>
    </w:p>
    <w:p>
      <w:pPr>
        <w:pStyle w:val="ListParagraph"/>
        <w:numPr>
          <w:ilvl w:val="0"/>
          <w:numId w:val="2"/>
        </w:numPr>
        <w:spacing w:after="100" w:line="300"/>
      </w:pPr>
      <w:r>
        <w:t xml:space="preserve">Cliente PNCP com cache em disco, paginação, fetch paralelo e retry com backoff exponencial.</w:t>
      </w:r>
    </w:p>
    <w:p>
      <w:pPr>
        <w:pStyle w:val="ListParagraph"/>
        <w:numPr>
          <w:ilvl w:val="0"/>
          <w:numId w:val="2"/>
        </w:numPr>
        <w:spacing w:after="100" w:line="300"/>
      </w:pPr>
      <w:r>
        <w:t xml:space="preserve">Pipeline de classificação multi-eixo com matching por word boundary (corrigindo falso positivo da v0.1 em que "cei" casava em "Conceição").</w:t>
      </w:r>
    </w:p>
    <w:p>
      <w:pPr>
        <w:pStyle w:val="ListParagraph"/>
        <w:numPr>
          <w:ilvl w:val="0"/>
          <w:numId w:val="2"/>
        </w:numPr>
        <w:spacing w:after="100" w:line="300"/>
      </w:pPr>
      <w:r>
        <w:t xml:space="preserve">Escala de intensidade de documentação com cinco níveis discretos (sem_registros até atividade_intensa).</w:t>
      </w:r>
    </w:p>
    <w:p>
      <w:pPr>
        <w:pStyle w:val="ListParagraph"/>
        <w:numPr>
          <w:ilvl w:val="0"/>
          <w:numId w:val="2"/>
        </w:numPr>
        <w:spacing w:after="100" w:line="300"/>
      </w:pPr>
      <w:r>
        <w:t xml:space="preserve">Base agregada município × eixo em parquet, navegável via notebook e dashboard Streamlit.</w:t>
      </w:r>
    </w:p>
    <w:p>
      <w:pPr>
        <w:pStyle w:val="ListParagraph"/>
        <w:numPr>
          <w:ilvl w:val="0"/>
          <w:numId w:val="2"/>
        </w:numPr>
        <w:spacing w:after="100" w:line="300"/>
      </w:pPr>
      <w:r>
        <w:t xml:space="preserve">Stubs documentados para Transferegov, SIOPS, SIOPE e Censo SUAS, explicitando os caminhos de integração na fase 2.</w:t>
      </w:r>
    </w:p>
    <w:p>
      <w:pPr>
        <w:pStyle w:val="Heading2"/>
        <w:spacing w:after="160" w:before="240"/>
      </w:pPr>
      <w:r>
        <w:t xml:space="preserve">4.2 Tabela de resultados da amostra de demonstração</w:t>
      </w:r>
    </w:p>
    <w:p>
      <w:pPr>
        <w:spacing w:after="160" w:line="320"/>
      </w:pPr>
      <w:r>
        <w:t xml:space="preserve">Os números abaixo são da execução sobre contratos publicados em 15/09/2025 no PNCP (primeiras 50 páginas, 2.700 contratos brutos).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b/>
                <w:bCs/>
              </w:rPr>
              <w:t xml:space="preserve">Eixo</w:t>
            </w:r>
          </w:p>
        </w:tc>
        <w:tc>
          <w:tcPr>
            <w:tcW w:type="dxa" w:w="156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b/>
                <w:bCs/>
              </w:rPr>
              <w:t xml:space="preserve">Classificações</w:t>
            </w:r>
          </w:p>
        </w:tc>
        <w:tc>
          <w:tcPr>
            <w:tcW w:type="dxa" w:w="156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b/>
                <w:bCs/>
              </w:rPr>
              <w:t xml:space="preserve">Municípios</w:t>
            </w:r>
          </w:p>
        </w:tc>
        <w:tc>
          <w:tcPr>
            <w:tcW w:type="dxa" w:w="312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b/>
                <w:bCs/>
              </w:rPr>
              <w:t xml:space="preserve">Comentário</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Segurança Alimentar</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37</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~15</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Domínio do PNAE/merenda</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Primeira Infância</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25</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Quase tudo em creche/pré-escola</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Busca Ativa Escolar</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8</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Sobretudo transporte escolar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Saúde Mental</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CAPS em Mutuípe/BA + saúde mental São Miguel do Iguaçu/PR</w:t>
            </w:r>
          </w:p>
        </w:tc>
      </w:tr>
    </w:tbl>
    <w:p>
      <w:pPr>
        <w:spacing w:after="160" w:line="320"/>
      </w:pPr>
      <w:r>
        <w:t xml:space="preserve"> </w:t>
      </w:r>
    </w:p>
    <w:p>
      <w:pPr>
        <w:pStyle w:val="Heading2"/>
        <w:spacing w:after="160" w:before="240"/>
      </w:pPr>
      <w:r>
        <w:t xml:space="preserve">4.3 Lições da execução real</w:t>
      </w:r>
    </w:p>
    <w:p>
      <w:pPr>
        <w:spacing w:after="160" w:line="320"/>
      </w:pPr>
      <w:r>
        <w:t xml:space="preserve">A primeira rodada já produziu três aprendizados não-óbvios que vão guiar o restante do projeto:</w:t>
      </w:r>
    </w:p>
    <w:p>
      <w:pPr>
        <w:pStyle w:val="ListParagraph"/>
        <w:numPr>
          <w:ilvl w:val="0"/>
          <w:numId w:val="3"/>
        </w:numPr>
        <w:spacing w:after="100" w:line="300"/>
      </w:pPr>
      <w:r>
        <w:t xml:space="preserve">Word boundary é mandatório. A v0.1 da taxonomia tinha "cei" como keyword de creche e gerou falsos positivos em "Conceição", "Ceirárias-ME" e "CEI" usado como sigla de outros centros. A v0.2 exige boundary em todas as keywords.</w:t>
      </w:r>
    </w:p>
    <w:p>
      <w:pPr>
        <w:pStyle w:val="ListParagraph"/>
        <w:numPr>
          <w:ilvl w:val="0"/>
          <w:numId w:val="3"/>
        </w:numPr>
        <w:spacing w:after="100" w:line="300"/>
      </w:pPr>
      <w:r>
        <w:t xml:space="preserve">Termos genéricos puxam ruído. "Saúde mental" aparece com frequência como uma de várias secretarias atendidas por compras genéricas de papelaria. Foram adicionados excludes de "expediente", "papelaria", "material de escritório".</w:t>
      </w:r>
    </w:p>
    <w:p>
      <w:pPr>
        <w:pStyle w:val="ListParagraph"/>
        <w:numPr>
          <w:ilvl w:val="0"/>
          <w:numId w:val="3"/>
        </w:numPr>
        <w:spacing w:after="100" w:line="300"/>
      </w:pPr>
      <w:r>
        <w:t xml:space="preserve">A intersetorialidade é o caso normal, não a exceção. Quase metade dos contratos classificados foi para mais de um eixo (merenda em creches = primeira infância + segurança alimentar). Isso valida a decisão de permitir classificação multi-eixo.</w:t>
      </w:r>
    </w:p>
    <w:p>
      <w:pPr>
        <w:pStyle w:val="Heading1"/>
        <w:spacing w:after="200" w:before="320"/>
      </w:pPr>
      <w:r>
        <w:t xml:space="preserve">5. Roadmap</w:t>
      </w:r>
    </w:p>
    <w:p>
      <w:pPr>
        <w:pStyle w:val="Heading2"/>
        <w:spacing w:after="160" w:before="240"/>
      </w:pPr>
      <w:r>
        <w:t xml:space="preserve">5.1 Fase 1 — Solidificação do MVP (próximos 2-3 meses)</w:t>
      </w:r>
    </w:p>
    <w:p>
      <w:pPr>
        <w:pStyle w:val="ListParagraph"/>
        <w:numPr>
          <w:ilvl w:val="0"/>
          <w:numId w:val="2"/>
        </w:numPr>
        <w:spacing w:after="100" w:line="300"/>
      </w:pPr>
      <w:r>
        <w:t xml:space="preserve">Expansão da coleta PNCP para 12 meses contínuos.</w:t>
      </w:r>
    </w:p>
    <w:p>
      <w:pPr>
        <w:pStyle w:val="ListParagraph"/>
        <w:numPr>
          <w:ilvl w:val="0"/>
          <w:numId w:val="2"/>
        </w:numPr>
        <w:spacing w:after="100" w:line="300"/>
      </w:pPr>
      <w:r>
        <w:t xml:space="preserve">Score de confiança por classificação (número de keywords casadas, presença de termos reforçadores).</w:t>
      </w:r>
    </w:p>
    <w:p>
      <w:pPr>
        <w:pStyle w:val="ListParagraph"/>
        <w:numPr>
          <w:ilvl w:val="0"/>
          <w:numId w:val="2"/>
        </w:numPr>
        <w:spacing w:after="100" w:line="300"/>
      </w:pPr>
      <w:r>
        <w:t xml:space="preserve">Validação assistida: rotulação manual de amostra estratificada (n=300) para calcular precisão/recall por subeixo.</w:t>
      </w:r>
    </w:p>
    <w:p>
      <w:pPr>
        <w:pStyle w:val="ListParagraph"/>
        <w:numPr>
          <w:ilvl w:val="0"/>
          <w:numId w:val="2"/>
        </w:numPr>
        <w:spacing w:after="100" w:line="300"/>
      </w:pPr>
      <w:r>
        <w:t xml:space="preserve">Inclusão do Transferegov.</w:t>
      </w:r>
    </w:p>
    <w:p>
      <w:pPr>
        <w:pStyle w:val="ListParagraph"/>
        <w:numPr>
          <w:ilvl w:val="0"/>
          <w:numId w:val="2"/>
        </w:numPr>
        <w:spacing w:after="100" w:line="300"/>
      </w:pPr>
      <w:r>
        <w:t xml:space="preserve">Publicação da base v1.0 em formato aberto + documento metodológico.</w:t>
      </w:r>
    </w:p>
    <w:p>
      <w:pPr>
        <w:pStyle w:val="Heading2"/>
        <w:spacing w:after="160" w:before="240"/>
      </w:pPr>
      <w:r>
        <w:t xml:space="preserve">5.2 Fase 2 — Integração setorial (3-6 meses adicionais)</w:t>
      </w:r>
    </w:p>
    <w:p>
      <w:pPr>
        <w:pStyle w:val="ListParagraph"/>
        <w:numPr>
          <w:ilvl w:val="0"/>
          <w:numId w:val="2"/>
        </w:numPr>
        <w:spacing w:after="100" w:line="300"/>
      </w:pPr>
      <w:r>
        <w:t xml:space="preserve">Adaptadores para SIOPS, SIOPE e Censo SUAS, padronizando saída como {codigo_ibge, ano, indicador, valor}.</w:t>
      </w:r>
    </w:p>
    <w:p>
      <w:pPr>
        <w:pStyle w:val="ListParagraph"/>
        <w:numPr>
          <w:ilvl w:val="0"/>
          <w:numId w:val="2"/>
        </w:numPr>
        <w:spacing w:after="100" w:line="300"/>
      </w:pPr>
      <w:r>
        <w:t xml:space="preserve">Cruzamento PNCP × sistema setorial: quando o sinal do PNCP é confirmado ou contradito pela base administrativa correspondente?</w:t>
      </w:r>
    </w:p>
    <w:p>
      <w:pPr>
        <w:pStyle w:val="ListParagraph"/>
        <w:numPr>
          <w:ilvl w:val="0"/>
          <w:numId w:val="2"/>
        </w:numPr>
        <w:spacing w:after="100" w:line="300"/>
      </w:pPr>
      <w:r>
        <w:t xml:space="preserve">Versão pública do dashboard hospedada (fora do escopo do sandbox).</w:t>
      </w:r>
    </w:p>
    <w:p>
      <w:pPr>
        <w:pStyle w:val="Heading2"/>
        <w:spacing w:after="160" w:before="240"/>
      </w:pPr>
      <w:r>
        <w:t xml:space="preserve">5.3 Fase 3 — Fontes não estruturadas (6-12 meses)</w:t>
      </w:r>
    </w:p>
    <w:p>
      <w:pPr>
        <w:pStyle w:val="ListParagraph"/>
        <w:numPr>
          <w:ilvl w:val="0"/>
          <w:numId w:val="2"/>
        </w:numPr>
        <w:spacing w:after="100" w:line="300"/>
      </w:pPr>
      <w:r>
        <w:t xml:space="preserve">Pipeline de raspagem de diários oficiais municipais. Heterogeneidade é o grande inimigo aqui — 5.570 padrões diferentes.</w:t>
      </w:r>
    </w:p>
    <w:p>
      <w:pPr>
        <w:pStyle w:val="ListParagraph"/>
        <w:numPr>
          <w:ilvl w:val="0"/>
          <w:numId w:val="2"/>
        </w:numPr>
        <w:spacing w:after="100" w:line="300"/>
      </w:pPr>
      <w:r>
        <w:t xml:space="preserve">Classificação por LLM com prompts auditáveis e validação humana estratificada.</w:t>
      </w:r>
    </w:p>
    <w:p>
      <w:pPr>
        <w:pStyle w:val="ListParagraph"/>
        <w:numPr>
          <w:ilvl w:val="0"/>
          <w:numId w:val="2"/>
        </w:numPr>
        <w:spacing w:after="100" w:line="300"/>
      </w:pPr>
      <w:r>
        <w:t xml:space="preserve">Notícias institucionais como fonte complementar para anúncios e atos não formalizados.</w:t>
      </w:r>
    </w:p>
    <w:p>
      <w:pPr>
        <w:pStyle w:val="Heading1"/>
        <w:spacing w:after="200" w:before="320"/>
      </w:pPr>
      <w:r>
        <w:t xml:space="preserve">6.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b/>
                <w:bCs/>
              </w:rPr>
              <w:t xml:space="preserve">Risco</w:t>
            </w:r>
          </w:p>
        </w:tc>
        <w:tc>
          <w:tcPr>
            <w:tcW w:type="dxa" w:w="624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r>
              <w:rPr>
                <w:b/>
                <w:bCs/>
              </w:rPr>
              <w:t xml:space="preserve">Mitigação</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Leitura ingênua dos dados como medida de implementação</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Disclaimer metodológico em todo output. Linguagem deliberada da ferramenta usa "intensidade de documentação" e nunca "intensidade de política". Escala discreta de cinco níveis em vez de score contínuo evita falsa precisão.</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Viés sistemático contra municípios pequenos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Combinar PNCP (rico para municípios médios/grandes) com Transferegov e diários oficiais (que dependem menos de sofisticação burocrática).</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Taxonomia engessada ou capturada por preferências de quem a desenha</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Versionamento em YAML, changelog em cabeçalho, processo de revisão pública periódica com especialistas setoriais.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Falsos positivos minam credibilidade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Validação humana estratificada com publicação das métricas de precisão/recall por subeixo. Score de confiança permite ao usuário filtrar por nível de certeza.</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do PNCP pode mudar ou ficar instável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Cache em disco de todas as respostas — análises são reprodutíveis mesmo se a API mudar. Arquitetura de cliente isolado por fonte facilita adaptação.</w:t>
            </w:r>
          </w:p>
        </w:tc>
      </w:tr>
    </w:tbl>
    <w:p>
      <w:pPr>
        <w:spacing w:after="160" w:line="320"/>
      </w:pPr>
      <w:r>
        <w:t xml:space="preserve"> </w:t>
      </w:r>
    </w:p>
    <w:p>
      <w:pPr>
        <w:pStyle w:val="Heading1"/>
        <w:spacing w:after="200" w:before="320"/>
      </w:pPr>
      <w:r>
        <w:t xml:space="preserve">7. Anexo técnico — estrutura do código</w:t>
      </w:r>
    </w:p>
    <w:p>
      <w:pPr>
        <w:spacing w:after="160" w:line="320"/>
      </w:pPr>
      <w:r>
        <w:t xml:space="preserve">O protótipo executável está em /home/claude/radar_clear/, organizado por responsabilidade. As principais entradas:</w:t>
      </w:r>
    </w:p>
    <w:p>
      <w:pPr>
        <w:pStyle w:val="ListParagraph"/>
        <w:numPr>
          <w:ilvl w:val="0"/>
          <w:numId w:val="2"/>
        </w:numPr>
        <w:spacing w:after="100" w:line="300"/>
      </w:pPr>
      <w:r>
        <w:t xml:space="preserve">`radar_policy/taxonomy/taxonomy_v0.yaml` — taxonomia versionada.</w:t>
      </w:r>
    </w:p>
    <w:p>
      <w:pPr>
        <w:pStyle w:val="ListParagraph"/>
        <w:numPr>
          <w:ilvl w:val="0"/>
          <w:numId w:val="2"/>
        </w:numPr>
        <w:spacing w:after="100" w:line="300"/>
      </w:pPr>
      <w:r>
        <w:t xml:space="preserve">`radar_policy/sources/pncp.py` — cliente PNCP.</w:t>
      </w:r>
    </w:p>
    <w:p>
      <w:pPr>
        <w:pStyle w:val="ListParagraph"/>
        <w:numPr>
          <w:ilvl w:val="0"/>
          <w:numId w:val="2"/>
        </w:numPr>
        <w:spacing w:after="100" w:line="300"/>
      </w:pPr>
      <w:r>
        <w:t xml:space="preserve">`radar_policy/classify/classifier.py` — classificação + escala.</w:t>
      </w:r>
    </w:p>
    <w:p>
      <w:pPr>
        <w:pStyle w:val="ListParagraph"/>
        <w:numPr>
          <w:ilvl w:val="0"/>
          <w:numId w:val="2"/>
        </w:numPr>
        <w:spacing w:after="100" w:line="300"/>
      </w:pPr>
      <w:r>
        <w:t xml:space="preserve">`radar_policy/pipeline.py` — orquestração end-to-end.</w:t>
      </w:r>
    </w:p>
    <w:p>
      <w:pPr>
        <w:pStyle w:val="ListParagraph"/>
        <w:numPr>
          <w:ilvl w:val="0"/>
          <w:numId w:val="2"/>
        </w:numPr>
        <w:spacing w:after="100" w:line="300"/>
      </w:pPr>
      <w:r>
        <w:t xml:space="preserve">`dashboard/app.py` — dashboard Streamlit.</w:t>
      </w:r>
    </w:p>
    <w:p>
      <w:pPr>
        <w:pStyle w:val="ListParagraph"/>
        <w:numPr>
          <w:ilvl w:val="0"/>
          <w:numId w:val="2"/>
        </w:numPr>
        <w:spacing w:after="100" w:line="300"/>
      </w:pPr>
      <w:r>
        <w:t xml:space="preserve">`notebooks/01_exploracao.ipynb` — análise exploratória.</w:t>
      </w:r>
    </w:p>
    <w:p>
      <w:pPr>
        <w:pStyle w:val="ListParagraph"/>
        <w:numPr>
          <w:ilvl w:val="0"/>
          <w:numId w:val="2"/>
        </w:numPr>
        <w:spacing w:after="100" w:line="300"/>
      </w:pPr>
      <w:r>
        <w:t xml:space="preserve">`README.md` — instruções de uso e status atual.</w:t>
      </w:r>
    </w:p>
    <w:p>
      <w:pPr>
        <w:spacing w:after="160" w:line="320"/>
      </w:pPr>
      <w:r>
        <w:t xml:space="preserve"> </w:t>
      </w:r>
    </w:p>
    <w:p>
      <w:pPr>
        <w:spacing w:after="160" w:line="320"/>
        <w:rPr>
          <w:i/>
          <w:iCs/>
          <w:color w:val="555555"/>
        </w:rPr>
      </w:pPr>
      <w:r>
        <w:rPr>
          <w:i/>
          <w:iCs/>
          <w:color w:val="555555"/>
        </w:rPr>
        <w:t xml:space="preserve">Este documento é uma versão de trabalho. Críticas, correções de vocabulário, e contribuições à taxonomia são especialmente bem-vindas antes da próxima rodada de execução.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Radar de Políticas Municipais · Proposta CLEAR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C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Radar de Políticas Municipais — Proposta CLEAR</dc:title>
  <dc:creator>Radar de Políticas Municipais</dc:creator>
  <cp:lastModifiedBy>Un-named</cp:lastModifiedBy>
  <cp:revision>1</cp:revision>
  <dcterms:created xsi:type="dcterms:W3CDTF">2026-05-22T10:54:12.095Z</dcterms:created>
  <dcterms:modified xsi:type="dcterms:W3CDTF">2026-05-22T10:54:12.095Z</dcterms:modified>
</cp:coreProperties>
</file>

<file path=docProps/custom.xml><?xml version="1.0" encoding="utf-8"?>
<Properties xmlns="http://schemas.openxmlformats.org/officeDocument/2006/custom-properties" xmlns:vt="http://schemas.openxmlformats.org/officeDocument/2006/docPropsVTypes"/>
</file>