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drawing>
          <wp:inline distT="0" distB="0" distL="0" distR="0">
            <wp:extent cx="1238250" cy="6953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38250" cy="695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Bdr>
          <w:bottom w:val="single" w:color="D2AE6D" w:sz="10" w:space="6"/>
        </w:pBdr>
        <w:spacing w:after="260"/>
      </w:pPr>
    </w:p>
    <w:p>
      <w:pPr>
        <w:spacing w:after="40"/>
        <w:jc w:val="center"/>
      </w:pPr>
      <w:r>
        <w:rPr>
          <w:rFonts w:ascii="Calibri" w:cs="Calibri" w:eastAsia="Calibri" w:hAnsi="Calibri"/>
          <w:b/>
          <w:bCs/>
          <w:color w:val="2F4162"/>
          <w:sz w:val="32"/>
          <w:szCs w:val="32"/>
        </w:rPr>
        <w:t xml:space="preserve">DOSSIÊ DE PREPARAÇÃO</w:t>
      </w:r>
    </w:p>
    <w:p>
      <w:pPr>
        <w:spacing w:after="8"/>
        <w:jc w:val="center"/>
      </w:pPr>
      <w:r>
        <w:rPr>
          <w:rFonts w:ascii="Calibri" w:cs="Calibri" w:eastAsia="Calibri" w:hAnsi="Calibri"/>
          <w:b/>
          <w:bCs/>
          <w:color w:val="2F4162"/>
          <w:sz w:val="28"/>
          <w:szCs w:val="28"/>
        </w:rPr>
        <w:t xml:space="preserve">APRESENTAÇÃO TÉCNICA AO EINSTEIN — 13/10/2026</w:t>
      </w:r>
    </w:p>
    <w:p>
      <w:pPr>
        <w:pBdr>
          <w:bottom w:val="single" w:color="C9CDD3" w:sz="6" w:space="8"/>
        </w:pBdr>
        <w:spacing w:after="260" w:before="100"/>
        <w:jc w:val="center"/>
      </w:pPr>
      <w:r>
        <w:rPr>
          <w:rFonts w:ascii="Calibri" w:cs="Calibri" w:eastAsia="Calibri" w:hAnsi="Calibri"/>
          <w:i/>
          <w:iCs/>
          <w:color w:val="5B6470"/>
          <w:sz w:val="20"/>
          <w:szCs w:val="20"/>
        </w:rPr>
        <w:t xml:space="preserve">Uso interno  ·  Não enviar ao cliente</w:t>
      </w:r>
    </w:p>
    <w:tbl>
      <w:tblPr>
        <w:tblW w:type="dxa" w:w="9350"/>
        <w:tblBorders>
          <w:top w:val="single" w:color="C9CDD3" w:sz="4"/>
          <w:left w:val="single" w:color="C9CDD3" w:sz="4"/>
          <w:bottom w:val="single" w:color="C9CDD3" w:sz="4"/>
          <w:right w:val="single" w:color="C9CDD3" w:sz="4"/>
          <w:insideH w:val="single" w:color="C9CDD3" w:sz="4"/>
          <w:insideV w:val="single" w:color="C9CDD3" w:sz="4"/>
        </w:tblBorders>
      </w:tblPr>
      <w:tblGrid>
        <w:gridCol w:w="3100"/>
        <w:gridCol w:w="6250"/>
      </w:tblGrid>
      <w:tr>
        <w:trPr>
          <w:cantSplit/>
        </w:trPr>
        <w:tc>
          <w:tcPr>
            <w:tcW w:type="dxa" w:w="3100"/>
            <w:shd w:fill="F5F5F5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/>
            <w:r>
              <w:rPr>
                <w:rFonts w:ascii="Calibri" w:cs="Calibri" w:eastAsia="Calibri" w:hAnsi="Calibri"/>
                <w:b/>
                <w:bCs/>
                <w:color w:val="5B6470"/>
                <w:sz w:val="19"/>
                <w:szCs w:val="19"/>
              </w:rPr>
              <w:t xml:space="preserve">Reunião</w:t>
            </w:r>
          </w:p>
        </w:tc>
        <w:tc>
          <w:tcPr>
            <w:tcW w:type="dxa" w:w="6250"/>
            <w:shd w:fill="F5F5F5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/>
            <w:r>
              <w:rPr>
                <w:rFonts w:ascii="Calibri" w:cs="Calibri" w:eastAsia="Calibri" w:hAnsi="Calibri"/>
                <w:color w:val="1F2A37"/>
                <w:sz w:val="19"/>
                <w:szCs w:val="19"/>
              </w:rPr>
              <w:t xml:space="preserve">Terça, 13/10/2026, 10h–12h, Microsoft Teams</w:t>
            </w:r>
          </w:p>
        </w:tc>
      </w:tr>
      <w:tr>
        <w:trPr>
          <w:cantSplit/>
        </w:trPr>
        <w:tc>
          <w:tcPr>
            <w:tcW w:type="dxa" w:w="3100"/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/>
            <w:r>
              <w:rPr>
                <w:rFonts w:ascii="Calibri" w:cs="Calibri" w:eastAsia="Calibri" w:hAnsi="Calibri"/>
                <w:b/>
                <w:bCs/>
                <w:color w:val="5B6470"/>
                <w:sz w:val="19"/>
                <w:szCs w:val="19"/>
              </w:rPr>
              <w:t xml:space="preserve">Condução</w:t>
            </w:r>
          </w:p>
        </w:tc>
        <w:tc>
          <w:tcPr>
            <w:tcW w:type="dxa" w:w="6250"/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/>
            <w:r>
              <w:rPr>
                <w:rFonts w:ascii="Calibri" w:cs="Calibri" w:eastAsia="Calibri" w:hAnsi="Calibri"/>
                <w:color w:val="1F2A37"/>
                <w:sz w:val="19"/>
                <w:szCs w:val="19"/>
              </w:rPr>
              <w:t xml:space="preserve">Denise Ferreira e Caio Gavioli</w:t>
            </w:r>
          </w:p>
        </w:tc>
      </w:tr>
      <w:tr>
        <w:trPr>
          <w:cantSplit/>
        </w:trPr>
        <w:tc>
          <w:tcPr>
            <w:tcW w:type="dxa" w:w="3100"/>
            <w:shd w:fill="F5F5F5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/>
            <w:r>
              <w:rPr>
                <w:rFonts w:ascii="Calibri" w:cs="Calibri" w:eastAsia="Calibri" w:hAnsi="Calibri"/>
                <w:b/>
                <w:bCs/>
                <w:color w:val="5B6470"/>
                <w:sz w:val="19"/>
                <w:szCs w:val="19"/>
              </w:rPr>
              <w:t xml:space="preserve">Apoio</w:t>
            </w:r>
          </w:p>
        </w:tc>
        <w:tc>
          <w:tcPr>
            <w:tcW w:type="dxa" w:w="6250"/>
            <w:shd w:fill="F5F5F5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/>
            <w:r>
              <w:rPr>
                <w:rFonts w:ascii="Calibri" w:cs="Calibri" w:eastAsia="Calibri" w:hAnsi="Calibri"/>
                <w:color w:val="1F2A37"/>
                <w:sz w:val="19"/>
                <w:szCs w:val="19"/>
              </w:rPr>
              <w:t xml:space="preserve">Amanda Tigre, Marco Murino, Cláudia De Santi, André Ferreira da Silva</w:t>
            </w:r>
          </w:p>
        </w:tc>
      </w:tr>
      <w:tr>
        <w:trPr>
          <w:cantSplit/>
        </w:trPr>
        <w:tc>
          <w:tcPr>
            <w:tcW w:type="dxa" w:w="3100"/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/>
            <w:r>
              <w:rPr>
                <w:rFonts w:ascii="Calibri" w:cs="Calibri" w:eastAsia="Calibri" w:hAnsi="Calibri"/>
                <w:b/>
                <w:bCs/>
                <w:color w:val="5B6470"/>
                <w:sz w:val="19"/>
                <w:szCs w:val="19"/>
              </w:rPr>
              <w:t xml:space="preserve">Documento</w:t>
            </w:r>
          </w:p>
        </w:tc>
        <w:tc>
          <w:tcPr>
            <w:tcW w:type="dxa" w:w="6250"/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/>
            <w:r>
              <w:rPr>
                <w:rFonts w:ascii="Calibri" w:cs="Calibri" w:eastAsia="Calibri" w:hAnsi="Calibri"/>
                <w:color w:val="1F2A37"/>
                <w:sz w:val="19"/>
                <w:szCs w:val="19"/>
              </w:rPr>
              <w:t xml:space="preserve">Roteiro, pontos de atenção, perguntas prováveis e checklist</w:t>
            </w:r>
          </w:p>
        </w:tc>
      </w:tr>
      <w:tr>
        <w:trPr>
          <w:cantSplit/>
        </w:trPr>
        <w:tc>
          <w:tcPr>
            <w:tcW w:type="dxa" w:w="3100"/>
            <w:shd w:fill="F5F5F5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/>
            <w:r>
              <w:rPr>
                <w:rFonts w:ascii="Calibri" w:cs="Calibri" w:eastAsia="Calibri" w:hAnsi="Calibri"/>
                <w:b/>
                <w:bCs/>
                <w:color w:val="5B6470"/>
                <w:sz w:val="19"/>
                <w:szCs w:val="19"/>
              </w:rPr>
              <w:t xml:space="preserve">Classificação</w:t>
            </w:r>
          </w:p>
        </w:tc>
        <w:tc>
          <w:tcPr>
            <w:tcW w:type="dxa" w:w="6250"/>
            <w:shd w:fill="F5F5F5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/>
            <w:r>
              <w:rPr>
                <w:rFonts w:ascii="Calibri" w:cs="Calibri" w:eastAsia="Calibri" w:hAnsi="Calibri"/>
                <w:color w:val="1F2A37"/>
                <w:sz w:val="19"/>
                <w:szCs w:val="19"/>
              </w:rPr>
              <w:t xml:space="preserve">Confidencial — uso exclusivo DF</w:t>
            </w:r>
          </w:p>
        </w:tc>
      </w:tr>
    </w:tbl>
    <w:p>
      <w:r>
        <w:br w:type="page"/>
      </w:r>
    </w:p>
    <w:p>
      <w:pPr>
        <w:pStyle w:val="Heading1"/>
        <w:keepNext/>
        <w:pBdr>
          <w:bottom w:val="single" w:color="2F4162" w:sz="8" w:space="4"/>
        </w:pBdr>
        <w:spacing w:after="180" w:before="380"/>
      </w:pPr>
      <w:r>
        <w:rPr>
          <w:rFonts w:ascii="Calibri" w:cs="Calibri" w:eastAsia="Calibri" w:hAnsi="Calibri"/>
          <w:b/>
          <w:bCs/>
          <w:color w:val="2F4162"/>
          <w:sz w:val="26"/>
          <w:szCs w:val="26"/>
        </w:rPr>
        <w:t xml:space="preserve">1. A reunião</w:t>
      </w:r>
    </w:p>
    <w:tbl>
      <w:tblPr>
        <w:tblW w:type="dxa" w:w="9350"/>
        <w:tblBorders>
          <w:top w:val="single" w:color="C9CDD3" w:sz="4"/>
          <w:left w:val="single" w:color="C9CDD3" w:sz="4"/>
          <w:bottom w:val="single" w:color="C9CDD3" w:sz="4"/>
          <w:right w:val="single" w:color="C9CDD3" w:sz="4"/>
          <w:insideH w:val="single" w:color="C9CDD3" w:sz="4"/>
          <w:insideV w:val="single" w:color="C9CDD3" w:sz="4"/>
        </w:tblBorders>
      </w:tblPr>
      <w:tblGrid>
        <w:gridCol w:w="2465"/>
        <w:gridCol w:w="6885"/>
      </w:tblGrid>
      <w:tr>
        <w:trPr>
          <w:cantSplit/>
          <w:tblHeader/>
        </w:trPr>
        <w:tc>
          <w:tcPr>
            <w:tcW w:type="dxa" w:w="2465"/>
            <w:shd w:fill="2F4162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Item</w:t>
            </w:r>
          </w:p>
        </w:tc>
        <w:tc>
          <w:tcPr>
            <w:tcW w:type="dxa" w:w="6885"/>
            <w:shd w:fill="2F4162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Detalhe</w:t>
            </w:r>
          </w:p>
        </w:tc>
      </w:tr>
      <w:tr>
        <w:trPr>
          <w:cantSplit/>
        </w:trPr>
        <w:tc>
          <w:tcPr>
            <w:tcW w:type="dxa" w:w="2465"/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Data e local</w:t>
            </w:r>
          </w:p>
        </w:tc>
        <w:tc>
          <w:tcPr>
            <w:tcW w:type="dxa" w:w="6885"/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Terça, 13/10/2026, 10h às 12h — Microsoft Teams (link no convite da Tami)</w:t>
            </w:r>
          </w:p>
        </w:tc>
      </w:tr>
      <w:tr>
        <w:trPr>
          <w:cantSplit/>
        </w:trPr>
        <w:tc>
          <w:tcPr>
            <w:tcW w:type="dxa" w:w="2465"/>
            <w:shd w:fill="F5F5F5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Objetivo, nas palavras do Einstein</w:t>
            </w:r>
          </w:p>
        </w:tc>
        <w:tc>
          <w:tcPr>
            <w:tcW w:type="dxa" w:w="6885"/>
            <w:shd w:fill="F5F5F5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"Apresentar, de forma estruturada, sua empresa e a solução proposta"; "defesa técnica da proposta"; "saneamento das dúvidas"; "alinhamento quanto ao escopo, modelo operacional e premissas da solução"</w:t>
            </w:r>
          </w:p>
        </w:tc>
      </w:tr>
      <w:tr>
        <w:trPr>
          <w:cantSplit/>
        </w:trPr>
        <w:tc>
          <w:tcPr>
            <w:tcW w:type="dxa" w:w="2465"/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Einstein</w:t>
            </w:r>
          </w:p>
        </w:tc>
        <w:tc>
          <w:tcPr>
            <w:tcW w:type="dxa" w:w="6885"/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Tami Del Grego Favero (Compras Indiretas), Pedro Orlando Victor Galletta Filho, Mariana Cavalcante (contato da visita ao Parque Global), Samara dos Santos Ricardo, Viviane Gomes Lopes Fialho; cc Gislene Carine dos Santos</w:t>
            </w:r>
          </w:p>
        </w:tc>
      </w:tr>
      <w:tr>
        <w:trPr>
          <w:cantSplit/>
        </w:trPr>
        <w:tc>
          <w:tcPr>
            <w:tcW w:type="dxa" w:w="2465"/>
            <w:shd w:fill="F5F5F5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Premissa sobre os cargos</w:t>
            </w:r>
          </w:p>
        </w:tc>
        <w:tc>
          <w:tcPr>
            <w:tcW w:type="dxa" w:w="6885"/>
            <w:shd w:fill="F5F5F5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Cargos não confirmados. Assumimos três públicos: Compras, Facilities e Operações</w:t>
            </w:r>
          </w:p>
        </w:tc>
      </w:tr>
      <w:tr>
        <w:trPr>
          <w:cantSplit/>
        </w:trPr>
        <w:tc>
          <w:tcPr>
            <w:tcW w:type="dxa" w:w="2465"/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DF</w:t>
            </w:r>
          </w:p>
        </w:tc>
        <w:tc>
          <w:tcPr>
            <w:tcW w:type="dxa" w:w="6885"/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Denise Ferreira e Caio Gavioli conduzem juntos (Caio compartilha a tela); Amanda Tigre, Marco Murino, Cláudia De Santi e André Ferreira da Silva de apoio às perguntas</w:t>
            </w:r>
          </w:p>
        </w:tc>
      </w:tr>
      <w:tr>
        <w:trPr>
          <w:cantSplit/>
        </w:trPr>
        <w:tc>
          <w:tcPr>
            <w:tcW w:type="dxa" w:w="2465"/>
            <w:shd w:fill="F5F5F5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Material</w:t>
            </w:r>
          </w:p>
        </w:tc>
        <w:tc>
          <w:tcPr>
            <w:tcW w:type="dxa" w:w="6885"/>
            <w:shd w:fill="F5F5F5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Apresentação PowerPoint (23 slides: 21 de exposição + 2 de apoio ocultos, que só aparecem se você navegar até eles); relatório executivo para enviar depois</w:t>
            </w:r>
          </w:p>
        </w:tc>
      </w:tr>
    </w:tbl>
    <w:p>
      <w:pPr>
        <w:spacing w:after="120"/>
      </w:pPr>
    </w:p>
    <w:p>
      <w:pPr>
        <w:pStyle w:val="Heading1"/>
        <w:keepNext/>
        <w:pBdr>
          <w:bottom w:val="single" w:color="2F4162" w:sz="8" w:space="4"/>
        </w:pBdr>
        <w:spacing w:after="180" w:before="380"/>
      </w:pPr>
      <w:r>
        <w:rPr>
          <w:rFonts w:ascii="Calibri" w:cs="Calibri" w:eastAsia="Calibri" w:hAnsi="Calibri"/>
          <w:b/>
          <w:bCs/>
          <w:color w:val="2F4162"/>
          <w:sz w:val="26"/>
          <w:szCs w:val="26"/>
        </w:rPr>
        <w:t xml:space="preserve">2. As cinco mensagens que precisam ficar</w:t>
      </w:r>
    </w:p>
    <w:p>
      <w:pPr>
        <w:pStyle w:val="ListParagraph"/>
        <w:numPr>
          <w:ilvl w:val="0"/>
          <w:numId w:val="1"/>
        </w:numPr>
        <w:spacing w:after="110" w:line="290"/>
        <w:ind w:left="360"/>
        <w:jc w:val="both"/>
      </w:pPr>
      <w:r>
        <w:rPr>
          <w:rFonts w:ascii="Calibri" w:cs="Calibri" w:eastAsia="Calibri" w:hAnsi="Calibri"/>
          <w:b/>
          <w:bCs/>
          <w:color w:val="1F2A37"/>
          <w:sz w:val="20"/>
          <w:szCs w:val="20"/>
        </w:rPr>
        <w:t xml:space="preserve">Independência:</w:t>
      </w:r>
      <w:r>
        <w:rPr>
          <w:rFonts w:ascii="Calibri" w:cs="Calibri" w:eastAsia="Calibri" w:hAnsi="Calibri"/>
          <w:color w:val="1F2A37"/>
          <w:sz w:val="20"/>
          <w:szCs w:val="20"/>
        </w:rPr>
        <w:t xml:space="preserve"> a DF não é administradora — fiscaliza quem executa, em nome do Einstein.</w:t>
      </w:r>
    </w:p>
    <w:p>
      <w:pPr>
        <w:pStyle w:val="ListParagraph"/>
        <w:numPr>
          <w:ilvl w:val="0"/>
          <w:numId w:val="1"/>
        </w:numPr>
        <w:spacing w:after="110" w:line="290"/>
        <w:ind w:left="360"/>
        <w:jc w:val="both"/>
      </w:pPr>
      <w:r>
        <w:rPr>
          <w:rFonts w:ascii="Calibri" w:cs="Calibri" w:eastAsia="Calibri" w:hAnsi="Calibri"/>
          <w:b/>
          <w:bCs/>
          <w:color w:val="1F2A37"/>
          <w:sz w:val="20"/>
          <w:szCs w:val="20"/>
        </w:rPr>
        <w:t xml:space="preserve">Entendimento:</w:t>
      </w:r>
      <w:r>
        <w:rPr>
          <w:rFonts w:ascii="Calibri" w:cs="Calibri" w:eastAsia="Calibri" w:hAnsi="Calibri"/>
          <w:color w:val="1F2A37"/>
          <w:sz w:val="20"/>
          <w:szCs w:val="20"/>
        </w:rPr>
        <w:t xml:space="preserve"> três unidades, três desafios; dedicação calibrada para cada uma.</w:t>
      </w:r>
    </w:p>
    <w:p>
      <w:pPr>
        <w:pStyle w:val="ListParagraph"/>
        <w:numPr>
          <w:ilvl w:val="0"/>
          <w:numId w:val="1"/>
        </w:numPr>
        <w:spacing w:after="110" w:line="290"/>
        <w:ind w:left="360"/>
        <w:jc w:val="both"/>
      </w:pPr>
      <w:r>
        <w:rPr>
          <w:rFonts w:ascii="Calibri" w:cs="Calibri" w:eastAsia="Calibri" w:hAnsi="Calibri"/>
          <w:b/>
          <w:bCs/>
          <w:color w:val="1F2A37"/>
          <w:sz w:val="20"/>
          <w:szCs w:val="20"/>
        </w:rPr>
        <w:t xml:space="preserve">Rateio:</w:t>
      </w:r>
      <w:r>
        <w:rPr>
          <w:rFonts w:ascii="Calibri" w:cs="Calibri" w:eastAsia="Calibri" w:hAnsi="Calibri"/>
          <w:color w:val="1F2A37"/>
          <w:sz w:val="20"/>
          <w:szCs w:val="20"/>
        </w:rPr>
        <w:t xml:space="preserve"> casos reais de subsídio cruzado corrigidos (SPHQ I, 17007).</w:t>
      </w:r>
    </w:p>
    <w:p>
      <w:pPr>
        <w:pStyle w:val="ListParagraph"/>
        <w:numPr>
          <w:ilvl w:val="0"/>
          <w:numId w:val="1"/>
        </w:numPr>
        <w:spacing w:after="110" w:line="290"/>
        <w:ind w:left="360"/>
        <w:jc w:val="both"/>
      </w:pPr>
      <w:r>
        <w:rPr>
          <w:rFonts w:ascii="Calibri" w:cs="Calibri" w:eastAsia="Calibri" w:hAnsi="Calibri"/>
          <w:b/>
          <w:bCs/>
          <w:color w:val="1F2A37"/>
          <w:sz w:val="20"/>
          <w:szCs w:val="20"/>
        </w:rPr>
        <w:t xml:space="preserve">Governança à prova de risco:</w:t>
      </w:r>
      <w:r>
        <w:rPr>
          <w:rFonts w:ascii="Calibri" w:cs="Calibri" w:eastAsia="Calibri" w:hAnsi="Calibri"/>
          <w:color w:val="1F2A37"/>
          <w:sz w:val="20"/>
          <w:szCs w:val="20"/>
        </w:rPr>
        <w:t xml:space="preserve"> nenhum voto sem autorização escrita; SLAs iguais ou melhores que a referência.</w:t>
      </w:r>
    </w:p>
    <w:p>
      <w:pPr>
        <w:pStyle w:val="ListParagraph"/>
        <w:numPr>
          <w:ilvl w:val="0"/>
          <w:numId w:val="1"/>
        </w:numPr>
        <w:spacing w:after="110" w:line="290"/>
        <w:ind w:left="360"/>
        <w:jc w:val="both"/>
      </w:pPr>
      <w:r>
        <w:rPr>
          <w:rFonts w:ascii="Calibri" w:cs="Calibri" w:eastAsia="Calibri" w:hAnsi="Calibri"/>
          <w:b/>
          <w:bCs/>
          <w:color w:val="1F2A37"/>
          <w:sz w:val="20"/>
          <w:szCs w:val="20"/>
        </w:rPr>
        <w:t xml:space="preserve">Hospital em condomínio multiuso:</w:t>
      </w:r>
      <w:r>
        <w:rPr>
          <w:rFonts w:ascii="Calibri" w:cs="Calibri" w:eastAsia="Calibri" w:hAnsi="Calibri"/>
          <w:color w:val="1F2A37"/>
          <w:sz w:val="20"/>
          <w:szCs w:val="20"/>
        </w:rPr>
        <w:t xml:space="preserve"> já fazemos isso hoje no O Parque.</w:t>
      </w:r>
    </w:p>
    <w:p>
      <w:pPr>
        <w:pStyle w:val="ListParagraph"/>
        <w:numPr>
          <w:ilvl w:val="0"/>
          <w:numId w:val="1"/>
        </w:numPr>
        <w:spacing w:after="110" w:line="290"/>
        <w:ind w:left="360"/>
        <w:jc w:val="both"/>
      </w:pPr>
      <w:r>
        <w:rPr>
          <w:rFonts w:ascii="Calibri" w:cs="Calibri" w:eastAsia="Calibri" w:hAnsi="Calibri"/>
          <w:b/>
          <w:bCs/>
          <w:color w:val="1F2A37"/>
          <w:sz w:val="20"/>
          <w:szCs w:val="20"/>
        </w:rPr>
        <w:t xml:space="preserve">Controle com ferramentas próprias:</w:t>
      </w:r>
      <w:r>
        <w:rPr>
          <w:rFonts w:ascii="Calibri" w:cs="Calibri" w:eastAsia="Calibri" w:hAnsi="Calibri"/>
          <w:color w:val="1F2A37"/>
          <w:sz w:val="20"/>
          <w:szCs w:val="20"/>
        </w:rPr>
        <w:t xml:space="preserve"> Boletim Diário, rotinas automáticas e relatórios técnicos.</w:t>
      </w:r>
    </w:p>
    <w:p>
      <w:pPr>
        <w:pStyle w:val="Heading1"/>
        <w:keepNext/>
        <w:pBdr>
          <w:bottom w:val="single" w:color="2F4162" w:sz="8" w:space="4"/>
        </w:pBdr>
        <w:spacing w:after="180" w:before="380"/>
      </w:pPr>
      <w:r>
        <w:rPr>
          <w:rFonts w:ascii="Calibri" w:cs="Calibri" w:eastAsia="Calibri" w:hAnsi="Calibri"/>
          <w:b/>
          <w:bCs/>
          <w:color w:val="2F4162"/>
          <w:sz w:val="26"/>
          <w:szCs w:val="26"/>
        </w:rPr>
        <w:t xml:space="preserve">3. Roteiro e tempo</w:t>
      </w:r>
    </w:p>
    <w:tbl>
      <w:tblPr>
        <w:tblW w:type="dxa" w:w="9350"/>
        <w:tblBorders>
          <w:top w:val="single" w:color="C9CDD3" w:sz="4"/>
          <w:left w:val="single" w:color="C9CDD3" w:sz="4"/>
          <w:bottom w:val="single" w:color="C9CDD3" w:sz="4"/>
          <w:right w:val="single" w:color="C9CDD3" w:sz="4"/>
          <w:insideH w:val="single" w:color="C9CDD3" w:sz="4"/>
          <w:insideV w:val="single" w:color="C9CDD3" w:sz="4"/>
        </w:tblBorders>
      </w:tblPr>
      <w:tblGrid>
        <w:gridCol w:w="889"/>
        <w:gridCol w:w="6031"/>
        <w:gridCol w:w="1289"/>
        <w:gridCol w:w="1141"/>
      </w:tblGrid>
      <w:tr>
        <w:trPr>
          <w:cantSplit/>
          <w:tblHeader/>
        </w:trPr>
        <w:tc>
          <w:tcPr>
            <w:tcW w:type="dxa" w:w="889"/>
            <w:shd w:fill="2F4162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Slide</w:t>
            </w:r>
          </w:p>
        </w:tc>
        <w:tc>
          <w:tcPr>
            <w:tcW w:type="dxa" w:w="6031"/>
            <w:shd w:fill="2F4162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Conteúdo</w:t>
            </w:r>
          </w:p>
        </w:tc>
        <w:tc>
          <w:tcPr>
            <w:tcW w:type="dxa" w:w="1289"/>
            <w:shd w:fill="2F4162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Quem conduz</w:t>
            </w:r>
          </w:p>
        </w:tc>
        <w:tc>
          <w:tcPr>
            <w:tcW w:type="dxa" w:w="1141"/>
            <w:shd w:fill="2F4162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Tempo</w:t>
            </w:r>
          </w:p>
        </w:tc>
      </w:tr>
      <w:tr>
        <w:trPr>
          <w:cantSplit/>
        </w:trPr>
        <w:tc>
          <w:tcPr>
            <w:tcW w:type="dxa" w:w="889"/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1–2</w:t>
            </w:r>
          </w:p>
        </w:tc>
        <w:tc>
          <w:tcPr>
            <w:tcW w:type="dxa" w:w="6031"/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Abertura e agenda</w:t>
            </w:r>
          </w:p>
        </w:tc>
        <w:tc>
          <w:tcPr>
            <w:tcW w:type="dxa" w:w="1289"/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Denise</w:t>
            </w:r>
          </w:p>
        </w:tc>
        <w:tc>
          <w:tcPr>
            <w:tcW w:type="dxa" w:w="1141"/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3 min</w:t>
            </w:r>
          </w:p>
        </w:tc>
      </w:tr>
      <w:tr>
        <w:trPr>
          <w:cantSplit/>
        </w:trPr>
        <w:tc>
          <w:tcPr>
            <w:tcW w:type="dxa" w:w="889"/>
            <w:shd w:fill="F5F5F5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3</w:t>
            </w:r>
          </w:p>
        </w:tc>
        <w:tc>
          <w:tcPr>
            <w:tcW w:type="dxa" w:w="6031"/>
            <w:shd w:fill="F5F5F5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Três unidades, três desafios</w:t>
            </w:r>
          </w:p>
        </w:tc>
        <w:tc>
          <w:tcPr>
            <w:tcW w:type="dxa" w:w="1289"/>
            <w:shd w:fill="F5F5F5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Caio</w:t>
            </w:r>
          </w:p>
        </w:tc>
        <w:tc>
          <w:tcPr>
            <w:tcW w:type="dxa" w:w="1141"/>
            <w:shd w:fill="F5F5F5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4 min</w:t>
            </w:r>
          </w:p>
        </w:tc>
      </w:tr>
      <w:tr>
        <w:trPr>
          <w:cantSplit/>
        </w:trPr>
        <w:tc>
          <w:tcPr>
            <w:tcW w:type="dxa" w:w="889"/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4</w:t>
            </w:r>
          </w:p>
        </w:tc>
        <w:tc>
          <w:tcPr>
            <w:tcW w:type="dxa" w:w="6031"/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Governança × operação</w:t>
            </w:r>
          </w:p>
        </w:tc>
        <w:tc>
          <w:tcPr>
            <w:tcW w:type="dxa" w:w="1289"/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Denise</w:t>
            </w:r>
          </w:p>
        </w:tc>
        <w:tc>
          <w:tcPr>
            <w:tcW w:type="dxa" w:w="1141"/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4 min</w:t>
            </w:r>
          </w:p>
        </w:tc>
      </w:tr>
      <w:tr>
        <w:trPr>
          <w:cantSplit/>
        </w:trPr>
        <w:tc>
          <w:tcPr>
            <w:tcW w:type="dxa" w:w="889"/>
            <w:shd w:fill="F5F5F5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5–6</w:t>
            </w:r>
          </w:p>
        </w:tc>
        <w:tc>
          <w:tcPr>
            <w:tcW w:type="dxa" w:w="6031"/>
            <w:shd w:fill="F5F5F5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DF em números e equipe</w:t>
            </w:r>
          </w:p>
        </w:tc>
        <w:tc>
          <w:tcPr>
            <w:tcW w:type="dxa" w:w="1289"/>
            <w:shd w:fill="F5F5F5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Denise</w:t>
            </w:r>
          </w:p>
        </w:tc>
        <w:tc>
          <w:tcPr>
            <w:tcW w:type="dxa" w:w="1141"/>
            <w:shd w:fill="F5F5F5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4 min</w:t>
            </w:r>
          </w:p>
        </w:tc>
      </w:tr>
      <w:tr>
        <w:trPr>
          <w:cantSplit/>
        </w:trPr>
        <w:tc>
          <w:tcPr>
            <w:tcW w:type="dxa" w:w="889"/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7–8</w:t>
            </w:r>
          </w:p>
        </w:tc>
        <w:tc>
          <w:tcPr>
            <w:tcW w:type="dxa" w:w="6031"/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Cases</w:t>
            </w:r>
          </w:p>
        </w:tc>
        <w:tc>
          <w:tcPr>
            <w:tcW w:type="dxa" w:w="1289"/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Denise e Caio</w:t>
            </w:r>
          </w:p>
        </w:tc>
        <w:tc>
          <w:tcPr>
            <w:tcW w:type="dxa" w:w="1141"/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6 min</w:t>
            </w:r>
          </w:p>
        </w:tc>
      </w:tr>
      <w:tr>
        <w:trPr>
          <w:cantSplit/>
        </w:trPr>
        <w:tc>
          <w:tcPr>
            <w:tcW w:type="dxa" w:w="889"/>
            <w:shd w:fill="F5F5F5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9</w:t>
            </w:r>
          </w:p>
        </w:tc>
        <w:tc>
          <w:tcPr>
            <w:tcW w:type="dxa" w:w="6031"/>
            <w:shd w:fill="F5F5F5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Metodologia de rateio</w:t>
            </w:r>
          </w:p>
        </w:tc>
        <w:tc>
          <w:tcPr>
            <w:tcW w:type="dxa" w:w="1289"/>
            <w:shd w:fill="F5F5F5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Caio</w:t>
            </w:r>
          </w:p>
        </w:tc>
        <w:tc>
          <w:tcPr>
            <w:tcW w:type="dxa" w:w="1141"/>
            <w:shd w:fill="F5F5F5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4 min</w:t>
            </w:r>
          </w:p>
        </w:tc>
      </w:tr>
      <w:tr>
        <w:trPr>
          <w:cantSplit/>
        </w:trPr>
        <w:tc>
          <w:tcPr>
            <w:tcW w:type="dxa" w:w="889"/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10</w:t>
            </w:r>
          </w:p>
        </w:tc>
        <w:tc>
          <w:tcPr>
            <w:tcW w:type="dxa" w:w="6031"/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Presença por unidade</w:t>
            </w:r>
          </w:p>
        </w:tc>
        <w:tc>
          <w:tcPr>
            <w:tcW w:type="dxa" w:w="1289"/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Denise</w:t>
            </w:r>
          </w:p>
        </w:tc>
        <w:tc>
          <w:tcPr>
            <w:tcW w:type="dxa" w:w="1141"/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2 min</w:t>
            </w:r>
          </w:p>
        </w:tc>
      </w:tr>
      <w:tr>
        <w:trPr>
          <w:cantSplit/>
        </w:trPr>
        <w:tc>
          <w:tcPr>
            <w:tcW w:type="dxa" w:w="889"/>
            <w:shd w:fill="F5F5F5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11</w:t>
            </w:r>
          </w:p>
        </w:tc>
        <w:tc>
          <w:tcPr>
            <w:tcW w:type="dxa" w:w="6031"/>
            <w:shd w:fill="F5F5F5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SLAs</w:t>
            </w:r>
          </w:p>
        </w:tc>
        <w:tc>
          <w:tcPr>
            <w:tcW w:type="dxa" w:w="1289"/>
            <w:shd w:fill="F5F5F5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Denise</w:t>
            </w:r>
          </w:p>
        </w:tc>
        <w:tc>
          <w:tcPr>
            <w:tcW w:type="dxa" w:w="1141"/>
            <w:shd w:fill="F5F5F5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3 min</w:t>
            </w:r>
          </w:p>
        </w:tc>
      </w:tr>
      <w:tr>
        <w:trPr>
          <w:cantSplit/>
        </w:trPr>
        <w:tc>
          <w:tcPr>
            <w:tcW w:type="dxa" w:w="889"/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12</w:t>
            </w:r>
          </w:p>
        </w:tc>
        <w:tc>
          <w:tcPr>
            <w:tcW w:type="dxa" w:w="6031"/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Governança de voto</w:t>
            </w:r>
          </w:p>
        </w:tc>
        <w:tc>
          <w:tcPr>
            <w:tcW w:type="dxa" w:w="1289"/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Denise</w:t>
            </w:r>
          </w:p>
        </w:tc>
        <w:tc>
          <w:tcPr>
            <w:tcW w:type="dxa" w:w="1141"/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3 min</w:t>
            </w:r>
          </w:p>
        </w:tc>
      </w:tr>
      <w:tr>
        <w:trPr>
          <w:cantSplit/>
        </w:trPr>
        <w:tc>
          <w:tcPr>
            <w:tcW w:type="dxa" w:w="889"/>
            <w:shd w:fill="F5F5F5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13–14</w:t>
            </w:r>
          </w:p>
        </w:tc>
        <w:tc>
          <w:tcPr>
            <w:tcW w:type="dxa" w:w="6031"/>
            <w:shd w:fill="F5F5F5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Entregáveis e mobilização</w:t>
            </w:r>
          </w:p>
        </w:tc>
        <w:tc>
          <w:tcPr>
            <w:tcW w:type="dxa" w:w="1289"/>
            <w:shd w:fill="F5F5F5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Caio</w:t>
            </w:r>
          </w:p>
        </w:tc>
        <w:tc>
          <w:tcPr>
            <w:tcW w:type="dxa" w:w="1141"/>
            <w:shd w:fill="F5F5F5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4 min</w:t>
            </w:r>
          </w:p>
        </w:tc>
      </w:tr>
      <w:tr>
        <w:trPr>
          <w:cantSplit/>
        </w:trPr>
        <w:tc>
          <w:tcPr>
            <w:tcW w:type="dxa" w:w="889"/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15</w:t>
            </w:r>
          </w:p>
        </w:tc>
        <w:tc>
          <w:tcPr>
            <w:tcW w:type="dxa" w:w="6031"/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Continuidade</w:t>
            </w:r>
          </w:p>
        </w:tc>
        <w:tc>
          <w:tcPr>
            <w:tcW w:type="dxa" w:w="1289"/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Denise</w:t>
            </w:r>
          </w:p>
        </w:tc>
        <w:tc>
          <w:tcPr>
            <w:tcW w:type="dxa" w:w="1141"/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2 min</w:t>
            </w:r>
          </w:p>
        </w:tc>
      </w:tr>
      <w:tr>
        <w:trPr>
          <w:cantSplit/>
        </w:trPr>
        <w:tc>
          <w:tcPr>
            <w:tcW w:type="dxa" w:w="889"/>
            <w:shd w:fill="F5F5F5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16–18</w:t>
            </w:r>
          </w:p>
        </w:tc>
        <w:tc>
          <w:tcPr>
            <w:tcW w:type="dxa" w:w="6031"/>
            <w:shd w:fill="F5F5F5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Como a DF controla: Boletim, rotinas automáticas e relatórios técnicos</w:t>
            </w:r>
          </w:p>
        </w:tc>
        <w:tc>
          <w:tcPr>
            <w:tcW w:type="dxa" w:w="1289"/>
            <w:shd w:fill="F5F5F5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Caio</w:t>
            </w:r>
          </w:p>
        </w:tc>
        <w:tc>
          <w:tcPr>
            <w:tcW w:type="dxa" w:w="1141"/>
            <w:shd w:fill="F5F5F5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6 min</w:t>
            </w:r>
          </w:p>
        </w:tc>
      </w:tr>
      <w:tr>
        <w:trPr>
          <w:cantSplit/>
        </w:trPr>
        <w:tc>
          <w:tcPr>
            <w:tcW w:type="dxa" w:w="889"/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19</w:t>
            </w:r>
          </w:p>
        </w:tc>
        <w:tc>
          <w:tcPr>
            <w:tcW w:type="dxa" w:w="6031"/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Escopo</w:t>
            </w:r>
          </w:p>
        </w:tc>
        <w:tc>
          <w:tcPr>
            <w:tcW w:type="dxa" w:w="1289"/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Denise</w:t>
            </w:r>
          </w:p>
        </w:tc>
        <w:tc>
          <w:tcPr>
            <w:tcW w:type="dxa" w:w="1141"/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2 min</w:t>
            </w:r>
          </w:p>
        </w:tc>
      </w:tr>
      <w:tr>
        <w:trPr>
          <w:cantSplit/>
        </w:trPr>
        <w:tc>
          <w:tcPr>
            <w:tcW w:type="dxa" w:w="889"/>
            <w:shd w:fill="F5F5F5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20–21</w:t>
            </w:r>
          </w:p>
        </w:tc>
        <w:tc>
          <w:tcPr>
            <w:tcW w:type="dxa" w:w="6031"/>
            <w:shd w:fill="F5F5F5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Por que a DF e encerramento</w:t>
            </w:r>
          </w:p>
        </w:tc>
        <w:tc>
          <w:tcPr>
            <w:tcW w:type="dxa" w:w="1289"/>
            <w:shd w:fill="F5F5F5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Denise</w:t>
            </w:r>
          </w:p>
        </w:tc>
        <w:tc>
          <w:tcPr>
            <w:tcW w:type="dxa" w:w="1141"/>
            <w:shd w:fill="F5F5F5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2 min</w:t>
            </w:r>
          </w:p>
        </w:tc>
      </w:tr>
      <w:tr>
        <w:trPr>
          <w:cantSplit/>
        </w:trPr>
        <w:tc>
          <w:tcPr>
            <w:tcW w:type="dxa" w:w="889"/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—</w:t>
            </w:r>
          </w:p>
        </w:tc>
        <w:tc>
          <w:tcPr>
            <w:tcW w:type="dxa" w:w="6031"/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1F2A37"/>
                <w:sz w:val="18"/>
                <w:szCs w:val="18"/>
              </w:rPr>
              <w:t xml:space="preserve">Total da exposição</w:t>
            </w:r>
          </w:p>
        </w:tc>
        <w:tc>
          <w:tcPr>
            <w:tcW w:type="dxa" w:w="1289"/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0"/>
            </w:pPr>
          </w:p>
        </w:tc>
        <w:tc>
          <w:tcPr>
            <w:tcW w:type="dxa" w:w="1141"/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1F2A37"/>
                <w:sz w:val="18"/>
                <w:szCs w:val="18"/>
              </w:rPr>
              <w:t xml:space="preserve">~47 min</w:t>
            </w:r>
          </w:p>
        </w:tc>
      </w:tr>
      <w:tr>
        <w:trPr>
          <w:cantSplit/>
        </w:trPr>
        <w:tc>
          <w:tcPr>
            <w:tcW w:type="dxa" w:w="889"/>
            <w:shd w:fill="F5F5F5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—</w:t>
            </w:r>
          </w:p>
        </w:tc>
        <w:tc>
          <w:tcPr>
            <w:tcW w:type="dxa" w:w="6031"/>
            <w:shd w:fill="F5F5F5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Perguntas e saneamento de dúvidas</w:t>
            </w:r>
          </w:p>
        </w:tc>
        <w:tc>
          <w:tcPr>
            <w:tcW w:type="dxa" w:w="1289"/>
            <w:shd w:fill="F5F5F5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Todos</w:t>
            </w:r>
          </w:p>
        </w:tc>
        <w:tc>
          <w:tcPr>
            <w:tcW w:type="dxa" w:w="1141"/>
            <w:shd w:fill="F5F5F5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~65 min</w:t>
            </w:r>
          </w:p>
        </w:tc>
      </w:tr>
    </w:tbl>
    <w:p>
      <w:pPr>
        <w:spacing w:after="120"/>
      </w:pPr>
    </w:p>
    <w:p>
      <w:pPr>
        <w:pStyle w:val="Heading1"/>
        <w:keepNext/>
        <w:pBdr>
          <w:bottom w:val="single" w:color="2F4162" w:sz="8" w:space="4"/>
        </w:pBdr>
        <w:spacing w:after="180" w:before="380"/>
      </w:pPr>
      <w:r>
        <w:rPr>
          <w:rFonts w:ascii="Calibri" w:cs="Calibri" w:eastAsia="Calibri" w:hAnsi="Calibri"/>
          <w:b/>
          <w:bCs/>
          <w:color w:val="2F4162"/>
          <w:sz w:val="26"/>
          <w:szCs w:val="26"/>
        </w:rPr>
        <w:t xml:space="preserve">4. O que cada área quer ouvir</w:t>
      </w:r>
    </w:p>
    <w:tbl>
      <w:tblPr>
        <w:tblW w:type="dxa" w:w="9350"/>
        <w:tblBorders>
          <w:top w:val="single" w:color="C9CDD3" w:sz="4"/>
          <w:left w:val="single" w:color="C9CDD3" w:sz="4"/>
          <w:bottom w:val="single" w:color="C9CDD3" w:sz="4"/>
          <w:right w:val="single" w:color="C9CDD3" w:sz="4"/>
          <w:insideH w:val="single" w:color="C9CDD3" w:sz="4"/>
          <w:insideV w:val="single" w:color="C9CDD3" w:sz="4"/>
        </w:tblBorders>
      </w:tblPr>
      <w:tblGrid>
        <w:gridCol w:w="1475"/>
        <w:gridCol w:w="4909"/>
        <w:gridCol w:w="2966"/>
      </w:tblGrid>
      <w:tr>
        <w:trPr>
          <w:cantSplit/>
          <w:tblHeader/>
        </w:trPr>
        <w:tc>
          <w:tcPr>
            <w:tcW w:type="dxa" w:w="1475"/>
            <w:shd w:fill="2F4162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Área (presumida)</w:t>
            </w:r>
          </w:p>
        </w:tc>
        <w:tc>
          <w:tcPr>
            <w:tcW w:type="dxa" w:w="4909"/>
            <w:shd w:fill="2F4162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Preocupação provável</w:t>
            </w:r>
          </w:p>
        </w:tc>
        <w:tc>
          <w:tcPr>
            <w:tcW w:type="dxa" w:w="2966"/>
            <w:shd w:fill="2F4162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Onde respondemos</w:t>
            </w:r>
          </w:p>
        </w:tc>
      </w:tr>
      <w:tr>
        <w:trPr>
          <w:cantSplit/>
        </w:trPr>
        <w:tc>
          <w:tcPr>
            <w:tcW w:type="dxa" w:w="1475"/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Compras</w:t>
            </w:r>
          </w:p>
        </w:tc>
        <w:tc>
          <w:tcPr>
            <w:tcW w:type="dxa" w:w="4909"/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Equalização entre proponentes; premissas claras; nada fora da mensalidade; aceite integral da minuta e dos entregáveis</w:t>
            </w:r>
          </w:p>
        </w:tc>
        <w:tc>
          <w:tcPr>
            <w:tcW w:type="dxa" w:w="2966"/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Slides 11, 13 e 19; carta de aceite já enviada</w:t>
            </w:r>
          </w:p>
        </w:tc>
      </w:tr>
      <w:tr>
        <w:trPr>
          <w:cantSplit/>
        </w:trPr>
        <w:tc>
          <w:tcPr>
            <w:tcW w:type="dxa" w:w="1475"/>
            <w:shd w:fill="F5F5F5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Facilities</w:t>
            </w:r>
          </w:p>
        </w:tc>
        <w:tc>
          <w:tcPr>
            <w:tcW w:type="dxa" w:w="4909"/>
            <w:shd w:fill="F5F5F5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Resposta a crise 24x7; sistemas críticos; interface com a administradora; implantação de Pinheiros</w:t>
            </w:r>
          </w:p>
        </w:tc>
        <w:tc>
          <w:tcPr>
            <w:tcW w:type="dxa" w:w="2966"/>
            <w:shd w:fill="F5F5F5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Slides 3, 9, 11, 14, 15, 16 e 17</w:t>
            </w:r>
          </w:p>
        </w:tc>
      </w:tr>
      <w:tr>
        <w:trPr>
          <w:cantSplit/>
        </w:trPr>
        <w:tc>
          <w:tcPr>
            <w:tcW w:type="dxa" w:w="1475"/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Operações</w:t>
            </w:r>
          </w:p>
        </w:tc>
        <w:tc>
          <w:tcPr>
            <w:tcW w:type="dxa" w:w="4909"/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Rotina com as unidades; quem faz o quê; assembleias; relatórios</w:t>
            </w:r>
          </w:p>
        </w:tc>
        <w:tc>
          <w:tcPr>
            <w:tcW w:type="dxa" w:w="2966"/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Slides 4, 10, 12, 13 e 18</w:t>
            </w:r>
          </w:p>
        </w:tc>
      </w:tr>
    </w:tbl>
    <w:p>
      <w:pPr>
        <w:spacing w:after="120"/>
      </w:pPr>
    </w:p>
    <w:p>
      <w:pPr>
        <w:pStyle w:val="Heading1"/>
        <w:keepNext/>
        <w:pBdr>
          <w:bottom w:val="single" w:color="2F4162" w:sz="8" w:space="4"/>
        </w:pBdr>
        <w:spacing w:after="180" w:before="380"/>
      </w:pPr>
      <w:r>
        <w:rPr>
          <w:rFonts w:ascii="Calibri" w:cs="Calibri" w:eastAsia="Calibri" w:hAnsi="Calibri"/>
          <w:b/>
          <w:bCs/>
          <w:color w:val="2F4162"/>
          <w:sz w:val="26"/>
          <w:szCs w:val="26"/>
        </w:rPr>
        <w:t xml:space="preserve">5. Pontos de atenção</w:t>
      </w:r>
    </w:p>
    <w:p>
      <w:pPr>
        <w:pStyle w:val="ListParagraph"/>
        <w:numPr>
          <w:ilvl w:val="0"/>
          <w:numId w:val="1"/>
        </w:numPr>
        <w:spacing w:after="110" w:line="290"/>
        <w:ind w:left="360"/>
        <w:jc w:val="both"/>
      </w:pPr>
      <w:r>
        <w:rPr>
          <w:rFonts w:ascii="Calibri" w:cs="Calibri" w:eastAsia="Calibri" w:hAnsi="Calibri"/>
          <w:b/>
          <w:bCs/>
          <w:color w:val="1F2A37"/>
          <w:sz w:val="20"/>
          <w:szCs w:val="20"/>
        </w:rPr>
        <w:t xml:space="preserve">SLA ajustado na apresentação.</w:t>
      </w:r>
      <w:r>
        <w:rPr>
          <w:rFonts w:ascii="Calibri" w:cs="Calibri" w:eastAsia="Calibri" w:hAnsi="Calibri"/>
          <w:color w:val="1F2A37"/>
          <w:sz w:val="20"/>
          <w:szCs w:val="20"/>
        </w:rPr>
        <w:t xml:space="preserve"> A primeira resposta da ordinária caiu de 2 dias úteis (proposta enviada) para 1 dia útil, e a crítica ganhou plano de ação em até 4 h. Dizer explicitamente que é um ajuste para alinhar à referência de 30/09 e que será formalizado por escrito.</w:t>
      </w:r>
    </w:p>
    <w:p>
      <w:pPr>
        <w:pStyle w:val="ListParagraph"/>
        <w:numPr>
          <w:ilvl w:val="0"/>
          <w:numId w:val="1"/>
        </w:numPr>
        <w:spacing w:after="110" w:line="290"/>
        <w:ind w:left="360"/>
        <w:jc w:val="both"/>
      </w:pPr>
      <w:r>
        <w:rPr>
          <w:rFonts w:ascii="Calibri" w:cs="Calibri" w:eastAsia="Calibri" w:hAnsi="Calibri"/>
          <w:b/>
          <w:bCs/>
          <w:color w:val="1F2A37"/>
          <w:sz w:val="20"/>
          <w:szCs w:val="20"/>
        </w:rPr>
        <w:t xml:space="preserve">Não falar de preço.</w:t>
      </w:r>
      <w:r>
        <w:rPr>
          <w:rFonts w:ascii="Calibri" w:cs="Calibri" w:eastAsia="Calibri" w:hAnsi="Calibri"/>
          <w:color w:val="1F2A37"/>
          <w:sz w:val="20"/>
          <w:szCs w:val="20"/>
        </w:rPr>
        <w:t xml:space="preserve"> A proposta comercial já foi enviada; se perguntarem, responder que os valores estão na proposta comercial e que a DF está aberta à fase de equalização.</w:t>
      </w:r>
    </w:p>
    <w:p>
      <w:pPr>
        <w:pStyle w:val="ListParagraph"/>
        <w:numPr>
          <w:ilvl w:val="0"/>
          <w:numId w:val="1"/>
        </w:numPr>
        <w:spacing w:after="110" w:line="290"/>
        <w:ind w:left="360"/>
        <w:jc w:val="both"/>
      </w:pPr>
      <w:r>
        <w:rPr>
          <w:rFonts w:ascii="Calibri" w:cs="Calibri" w:eastAsia="Calibri" w:hAnsi="Calibri"/>
          <w:b/>
          <w:bCs/>
          <w:color w:val="1F2A37"/>
          <w:sz w:val="20"/>
          <w:szCs w:val="20"/>
        </w:rPr>
        <w:t xml:space="preserve">Não usar "convocar e presidir assembleias" nem "aprovar despesas".</w:t>
      </w:r>
      <w:r>
        <w:rPr>
          <w:rFonts w:ascii="Calibri" w:cs="Calibri" w:eastAsia="Calibri" w:hAnsi="Calibri"/>
          <w:color w:val="1F2A37"/>
          <w:sz w:val="20"/>
          <w:szCs w:val="20"/>
        </w:rPr>
        <w:t xml:space="preserve"> O e-mail de 01/10 usou essas expressões; a RFP diz que o subsíndico não substitui o Síndico Geral e que a decisão é sempre do Einstein.</w:t>
      </w:r>
    </w:p>
    <w:p>
      <w:pPr>
        <w:pStyle w:val="ListParagraph"/>
        <w:numPr>
          <w:ilvl w:val="0"/>
          <w:numId w:val="1"/>
        </w:numPr>
        <w:spacing w:after="110" w:line="290"/>
        <w:ind w:left="360"/>
        <w:jc w:val="both"/>
      </w:pPr>
      <w:r>
        <w:rPr>
          <w:rFonts w:ascii="Calibri" w:cs="Calibri" w:eastAsia="Calibri" w:hAnsi="Calibri"/>
          <w:b/>
          <w:bCs/>
          <w:color w:val="1F2A37"/>
          <w:sz w:val="20"/>
          <w:szCs w:val="20"/>
        </w:rPr>
        <w:t xml:space="preserve">"Olhos do dono" → "olhos do Einstein".</w:t>
      </w:r>
      <w:r>
        <w:rPr>
          <w:rFonts w:ascii="Calibri" w:cs="Calibri" w:eastAsia="Calibri" w:hAnsi="Calibri"/>
          <w:color w:val="1F2A37"/>
          <w:sz w:val="20"/>
          <w:szCs w:val="20"/>
        </w:rPr>
        <w:t xml:space="preserve"> Em Pinheiros o Einstein é locatário de um fundo; a expressão pode soar como defesa do proprietário.</w:t>
      </w:r>
    </w:p>
    <w:p>
      <w:pPr>
        <w:pStyle w:val="ListParagraph"/>
        <w:numPr>
          <w:ilvl w:val="0"/>
          <w:numId w:val="1"/>
        </w:numPr>
        <w:spacing w:after="110" w:line="290"/>
        <w:ind w:left="360"/>
        <w:jc w:val="both"/>
      </w:pPr>
      <w:r>
        <w:rPr>
          <w:rFonts w:ascii="Calibri" w:cs="Calibri" w:eastAsia="Calibri" w:hAnsi="Calibri"/>
          <w:b/>
          <w:bCs/>
          <w:color w:val="1F2A37"/>
          <w:sz w:val="20"/>
          <w:szCs w:val="20"/>
        </w:rPr>
        <w:t xml:space="preserve">Não citar administradoras pelo nome</w:t>
      </w:r>
      <w:r>
        <w:rPr>
          <w:rFonts w:ascii="Calibri" w:cs="Calibri" w:eastAsia="Calibri" w:hAnsi="Calibri"/>
          <w:color w:val="1F2A37"/>
          <w:sz w:val="20"/>
          <w:szCs w:val="20"/>
        </w:rPr>
        <w:t xml:space="preserve"> nem atacar concorrentes. O argumento é estrutural: quem executa não deve fiscalizar a si mesmo.</w:t>
      </w:r>
    </w:p>
    <w:p>
      <w:pPr>
        <w:pStyle w:val="ListParagraph"/>
        <w:numPr>
          <w:ilvl w:val="0"/>
          <w:numId w:val="1"/>
        </w:numPr>
        <w:spacing w:after="110" w:line="290"/>
        <w:ind w:left="360"/>
        <w:jc w:val="both"/>
      </w:pPr>
      <w:r>
        <w:rPr>
          <w:rFonts w:ascii="Calibri" w:cs="Calibri" w:eastAsia="Calibri" w:hAnsi="Calibri"/>
          <w:b/>
          <w:bCs/>
          <w:color w:val="1F2A37"/>
          <w:sz w:val="20"/>
          <w:szCs w:val="20"/>
        </w:rPr>
        <w:t xml:space="preserve">Nome do gerente financeiro: Marco Murino</w:t>
      </w:r>
      <w:r>
        <w:rPr>
          <w:rFonts w:ascii="Calibri" w:cs="Calibri" w:eastAsia="Calibri" w:hAnsi="Calibri"/>
          <w:color w:val="1F2A37"/>
          <w:sz w:val="20"/>
          <w:szCs w:val="20"/>
        </w:rPr>
        <w:t xml:space="preserve"> (confirmado). As propostas técnicas de 01/10 grafaram "Murilo" — se surgir, corrigir verbalmente; o relatório executivo já está certo.</w:t>
      </w:r>
    </w:p>
    <w:p>
      <w:pPr>
        <w:pStyle w:val="ListParagraph"/>
        <w:numPr>
          <w:ilvl w:val="0"/>
          <w:numId w:val="1"/>
        </w:numPr>
        <w:spacing w:after="110" w:line="290"/>
        <w:ind w:left="360"/>
        <w:jc w:val="both"/>
      </w:pPr>
      <w:r>
        <w:rPr>
          <w:rFonts w:ascii="Calibri" w:cs="Calibri" w:eastAsia="Calibri" w:hAnsi="Calibri"/>
          <w:b/>
          <w:bCs/>
          <w:color w:val="1F2A37"/>
          <w:sz w:val="20"/>
          <w:szCs w:val="20"/>
        </w:rPr>
        <w:t xml:space="preserve">Cases sem valor em R$.</w:t>
      </w:r>
      <w:r>
        <w:rPr>
          <w:rFonts w:ascii="Calibri" w:cs="Calibri" w:eastAsia="Calibri" w:hAnsi="Calibri"/>
          <w:color w:val="1F2A37"/>
          <w:sz w:val="20"/>
          <w:szCs w:val="20"/>
        </w:rPr>
        <w:t xml:space="preserve"> Se pedirem números, responder qualitativamente e oferecer o contato de referência do cliente.</w:t>
      </w:r>
    </w:p>
    <w:p>
      <w:pPr>
        <w:pStyle w:val="ListParagraph"/>
        <w:numPr>
          <w:ilvl w:val="0"/>
          <w:numId w:val="1"/>
        </w:numPr>
        <w:spacing w:after="110" w:line="290"/>
        <w:ind w:left="360"/>
        <w:jc w:val="both"/>
      </w:pPr>
      <w:r>
        <w:rPr>
          <w:rFonts w:ascii="Calibri" w:cs="Calibri" w:eastAsia="Calibri" w:hAnsi="Calibri"/>
          <w:b/>
          <w:bCs/>
          <w:color w:val="1F2A37"/>
          <w:sz w:val="20"/>
          <w:szCs w:val="20"/>
        </w:rPr>
        <w:t xml:space="preserve">Sírio-Libanês:</w:t>
      </w:r>
      <w:r>
        <w:rPr>
          <w:rFonts w:ascii="Calibri" w:cs="Calibri" w:eastAsia="Calibri" w:hAnsi="Calibri"/>
          <w:color w:val="1F2A37"/>
          <w:sz w:val="20"/>
          <w:szCs w:val="20"/>
        </w:rPr>
        <w:t xml:space="preserve"> pode ser citado — a locação é pública.</w:t>
      </w:r>
    </w:p>
    <w:p>
      <w:pPr>
        <w:pStyle w:val="ListParagraph"/>
        <w:numPr>
          <w:ilvl w:val="0"/>
          <w:numId w:val="1"/>
        </w:numPr>
        <w:spacing w:after="110" w:line="290"/>
        <w:ind w:left="360"/>
        <w:jc w:val="both"/>
      </w:pPr>
      <w:r>
        <w:rPr>
          <w:rFonts w:ascii="Calibri" w:cs="Calibri" w:eastAsia="Calibri" w:hAnsi="Calibri"/>
          <w:b/>
          <w:bCs/>
          <w:color w:val="1F2A37"/>
          <w:sz w:val="20"/>
          <w:szCs w:val="20"/>
        </w:rPr>
        <w:t xml:space="preserve">Slides 16–18 (controles DF):</w:t>
      </w:r>
      <w:r>
        <w:rPr>
          <w:rFonts w:ascii="Calibri" w:cs="Calibri" w:eastAsia="Calibri" w:hAnsi="Calibri"/>
          <w:color w:val="1F2A37"/>
          <w:sz w:val="20"/>
          <w:szCs w:val="20"/>
        </w:rPr>
        <w:t xml:space="preserve"> não afirmar há quanto tempo estão em uso nem em quantos condomínios; não citar clientes nem prédios dos relatórios técnicos — o slide diz que é por sigilo. Se pedirem para ver, oferecer uma versão anonimizada após a contratação.</w:t>
      </w:r>
    </w:p>
    <w:p>
      <w:pPr>
        <w:pStyle w:val="ListParagraph"/>
        <w:numPr>
          <w:ilvl w:val="0"/>
          <w:numId w:val="1"/>
        </w:numPr>
        <w:spacing w:after="110" w:line="290"/>
        <w:ind w:left="360"/>
        <w:jc w:val="both"/>
      </w:pPr>
      <w:r>
        <w:rPr>
          <w:rFonts w:ascii="Calibri" w:cs="Calibri" w:eastAsia="Calibri" w:hAnsi="Calibri"/>
          <w:b/>
          <w:bCs/>
          <w:color w:val="1F2A37"/>
          <w:sz w:val="20"/>
          <w:szCs w:val="20"/>
        </w:rPr>
        <w:t xml:space="preserve">Slides de apoio ocultos (22 e 23):</w:t>
      </w:r>
      <w:r>
        <w:rPr>
          <w:rFonts w:ascii="Calibri" w:cs="Calibri" w:eastAsia="Calibri" w:hAnsi="Calibri"/>
          <w:color w:val="1F2A37"/>
          <w:sz w:val="20"/>
          <w:szCs w:val="20"/>
        </w:rPr>
        <w:t xml:space="preserve"> no modo de apresentação, digite o número do slide e Enter para mostrá-los.</w:t>
      </w:r>
    </w:p>
    <w:p>
      <w:pPr>
        <w:pStyle w:val="ListParagraph"/>
        <w:numPr>
          <w:ilvl w:val="0"/>
          <w:numId w:val="1"/>
        </w:numPr>
        <w:spacing w:after="110" w:line="290"/>
        <w:ind w:left="360"/>
        <w:jc w:val="both"/>
      </w:pPr>
      <w:r>
        <w:rPr>
          <w:rFonts w:ascii="Calibri" w:cs="Calibri" w:eastAsia="Calibri" w:hAnsi="Calibri"/>
          <w:b/>
          <w:bCs/>
          <w:color w:val="1F2A37"/>
          <w:sz w:val="20"/>
          <w:szCs w:val="20"/>
        </w:rPr>
        <w:t xml:space="preserve">Pagamento em 90 dias e reajuste anual:</w:t>
      </w:r>
      <w:r>
        <w:rPr>
          <w:rFonts w:ascii="Calibri" w:cs="Calibri" w:eastAsia="Calibri" w:hAnsi="Calibri"/>
          <w:color w:val="1F2A37"/>
          <w:sz w:val="20"/>
          <w:szCs w:val="20"/>
        </w:rPr>
        <w:t xml:space="preserve"> já aceitos na carta de aceite da minuta; não reabrir.</w:t>
      </w:r>
    </w:p>
    <w:p>
      <w:pPr>
        <w:pStyle w:val="Heading1"/>
        <w:keepNext/>
        <w:pBdr>
          <w:bottom w:val="single" w:color="2F4162" w:sz="8" w:space="4"/>
        </w:pBdr>
        <w:spacing w:after="180" w:before="380"/>
      </w:pPr>
      <w:r>
        <w:rPr>
          <w:rFonts w:ascii="Calibri" w:cs="Calibri" w:eastAsia="Calibri" w:hAnsi="Calibri"/>
          <w:b/>
          <w:bCs/>
          <w:color w:val="2F4162"/>
          <w:sz w:val="26"/>
          <w:szCs w:val="26"/>
        </w:rPr>
        <w:t xml:space="preserve">6. Perguntas prováveis e respostas sugeridas</w:t>
      </w:r>
    </w:p>
    <w:tbl>
      <w:tblPr>
        <w:tblW w:type="dxa" w:w="9350"/>
        <w:tblBorders>
          <w:top w:val="single" w:color="C9CDD3" w:sz="4"/>
          <w:left w:val="single" w:color="C9CDD3" w:sz="4"/>
          <w:bottom w:val="single" w:color="C9CDD3" w:sz="4"/>
          <w:right w:val="single" w:color="C9CDD3" w:sz="4"/>
          <w:insideH w:val="single" w:color="C9CDD3" w:sz="4"/>
          <w:insideV w:val="single" w:color="C9CDD3" w:sz="4"/>
        </w:tblBorders>
      </w:tblPr>
      <w:tblGrid>
        <w:gridCol w:w="530"/>
        <w:gridCol w:w="3917"/>
        <w:gridCol w:w="4903"/>
      </w:tblGrid>
      <w:tr>
        <w:trPr>
          <w:cantSplit/>
          <w:tblHeader/>
        </w:trPr>
        <w:tc>
          <w:tcPr>
            <w:tcW w:type="dxa" w:w="530"/>
            <w:shd w:fill="2F4162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#</w:t>
            </w:r>
          </w:p>
        </w:tc>
        <w:tc>
          <w:tcPr>
            <w:tcW w:type="dxa" w:w="3917"/>
            <w:shd w:fill="2F4162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Pergunta provável</w:t>
            </w:r>
          </w:p>
        </w:tc>
        <w:tc>
          <w:tcPr>
            <w:tcW w:type="dxa" w:w="4903"/>
            <w:shd w:fill="2F4162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Resposta sugerida</w:t>
            </w:r>
          </w:p>
        </w:tc>
      </w:tr>
      <w:tr>
        <w:trPr>
          <w:cantSplit/>
        </w:trPr>
        <w:tc>
          <w:tcPr>
            <w:tcW w:type="dxa" w:w="530"/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1</w:t>
            </w:r>
          </w:p>
        </w:tc>
        <w:tc>
          <w:tcPr>
            <w:tcW w:type="dxa" w:w="3917"/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Qual a diferença entre a DF e uma administradora predial?</w:t>
            </w:r>
          </w:p>
        </w:tc>
        <w:tc>
          <w:tcPr>
            <w:tcW w:type="dxa" w:w="4903"/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A administradora executa (operação, financeiro, equipes). A DF representa o Einstein e fiscaliza quem executa. Se a mesma empresa fizer as duas coisas, ninguém fiscaliza a administradora.</w:t>
            </w:r>
          </w:p>
        </w:tc>
      </w:tr>
      <w:tr>
        <w:trPr>
          <w:cantSplit/>
        </w:trPr>
        <w:tc>
          <w:tcPr>
            <w:tcW w:type="dxa" w:w="530"/>
            <w:shd w:fill="F5F5F5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2</w:t>
            </w:r>
          </w:p>
        </w:tc>
        <w:tc>
          <w:tcPr>
            <w:tcW w:type="dxa" w:w="3917"/>
            <w:shd w:fill="F5F5F5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Vocês vão votar em nome do Einstein?</w:t>
            </w:r>
          </w:p>
        </w:tc>
        <w:tc>
          <w:tcPr>
            <w:tcW w:type="dxa" w:w="4903"/>
            <w:shd w:fill="F5F5F5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Só com autorização escrita, inclusive em matérias de rotina. Imprevisto em assembleia: abstenção, ressalva em ata ou adiamento e comunicação no mesmo dia.</w:t>
            </w:r>
          </w:p>
        </w:tc>
      </w:tr>
      <w:tr>
        <w:trPr>
          <w:cantSplit/>
        </w:trPr>
        <w:tc>
          <w:tcPr>
            <w:tcW w:type="dxa" w:w="530"/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3</w:t>
            </w:r>
          </w:p>
        </w:tc>
        <w:tc>
          <w:tcPr>
            <w:tcW w:type="dxa" w:w="3917"/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Por que o SLA da ordinária mudou?</w:t>
            </w:r>
          </w:p>
        </w:tc>
        <w:tc>
          <w:tcPr>
            <w:tcW w:type="dxa" w:w="4903"/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Recebemos a referência do Einstein e alinhamos: 1 dia útil para a primeira resposta. Formalizamos por escrito após a reunião.</w:t>
            </w:r>
          </w:p>
        </w:tc>
      </w:tr>
      <w:tr>
        <w:trPr>
          <w:cantSplit/>
        </w:trPr>
        <w:tc>
          <w:tcPr>
            <w:tcW w:type="dxa" w:w="530"/>
            <w:shd w:fill="F5F5F5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4</w:t>
            </w:r>
          </w:p>
        </w:tc>
        <w:tc>
          <w:tcPr>
            <w:tcW w:type="dxa" w:w="3917"/>
            <w:shd w:fill="F5F5F5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Quem atende de madrugada numa ocorrência crítica?</w:t>
            </w:r>
          </w:p>
        </w:tc>
        <w:tc>
          <w:tcPr>
            <w:tcW w:type="dxa" w:w="4903"/>
            <w:shd w:fill="F5F5F5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Plantão telefônico: Denise → Amanda → Caio → prepostos. Resposta em até 30 min, plano de ação em até 4 h, presença em até 6 h.</w:t>
            </w:r>
          </w:p>
        </w:tc>
      </w:tr>
      <w:tr>
        <w:trPr>
          <w:cantSplit/>
        </w:trPr>
        <w:tc>
          <w:tcPr>
            <w:tcW w:type="dxa" w:w="530"/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5</w:t>
            </w:r>
          </w:p>
        </w:tc>
        <w:tc>
          <w:tcPr>
            <w:tcW w:type="dxa" w:w="3917"/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E se a Denise sair de férias ou ficar doente?</w:t>
            </w:r>
          </w:p>
        </w:tc>
        <w:tc>
          <w:tcPr>
            <w:tcW w:type="dxa" w:w="4903"/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Dois substitutos qualificados e todo o histórico no repositório corporativo (OneDrive) — a substituição é imediata, sem perda de informação.</w:t>
            </w:r>
          </w:p>
        </w:tc>
      </w:tr>
      <w:tr>
        <w:trPr>
          <w:cantSplit/>
        </w:trPr>
        <w:tc>
          <w:tcPr>
            <w:tcW w:type="dxa" w:w="530"/>
            <w:shd w:fill="F5F5F5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6</w:t>
            </w:r>
          </w:p>
        </w:tc>
        <w:tc>
          <w:tcPr>
            <w:tcW w:type="dxa" w:w="3917"/>
            <w:shd w:fill="F5F5F5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Como vocês tratam os sistemas críticos de Pinheiros no rateio?</w:t>
            </w:r>
          </w:p>
        </w:tc>
        <w:tc>
          <w:tcPr>
            <w:tcW w:type="dxa" w:w="4903"/>
            <w:shd w:fill="F5F5F5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É o primeiro ponto do diagnóstico: mapear o que o Einstein opera e paga e que também atende outros setores, e propor critério de reembolso ou rateio fundamentado na convenção.</w:t>
            </w:r>
          </w:p>
        </w:tc>
      </w:tr>
      <w:tr>
        <w:trPr>
          <w:cantSplit/>
        </w:trPr>
        <w:tc>
          <w:tcPr>
            <w:tcW w:type="dxa" w:w="530"/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7</w:t>
            </w:r>
          </w:p>
        </w:tc>
        <w:tc>
          <w:tcPr>
            <w:tcW w:type="dxa" w:w="3917"/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Vocês elaboram balancetes e prestação de contas?</w:t>
            </w:r>
          </w:p>
        </w:tc>
        <w:tc>
          <w:tcPr>
            <w:tcW w:type="dxa" w:w="4903"/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Não — é papel da administradora. A DF revisa, valida e cobra correções.</w:t>
            </w:r>
          </w:p>
        </w:tc>
      </w:tr>
      <w:tr>
        <w:trPr>
          <w:cantSplit/>
        </w:trPr>
        <w:tc>
          <w:tcPr>
            <w:tcW w:type="dxa" w:w="530"/>
            <w:shd w:fill="F5F5F5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8</w:t>
            </w:r>
          </w:p>
        </w:tc>
        <w:tc>
          <w:tcPr>
            <w:tcW w:type="dxa" w:w="3917"/>
            <w:shd w:fill="F5F5F5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O que gera cobrança extra?</w:t>
            </w:r>
          </w:p>
        </w:tc>
        <w:tc>
          <w:tcPr>
            <w:tcW w:type="dxa" w:w="4903"/>
            <w:shd w:fill="F5F5F5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Só laudos e perícias de terceiros, escritórios externos e contencioso, auditoria independente, custas cartoriais e viagens fora da Grande SP — sempre com autorização prévia e orçamento à parte.</w:t>
            </w:r>
          </w:p>
        </w:tc>
      </w:tr>
      <w:tr>
        <w:trPr>
          <w:cantSplit/>
        </w:trPr>
        <w:tc>
          <w:tcPr>
            <w:tcW w:type="dxa" w:w="530"/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9</w:t>
            </w:r>
          </w:p>
        </w:tc>
        <w:tc>
          <w:tcPr>
            <w:tcW w:type="dxa" w:w="3917"/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Por que tantas horas em Pinheiros no início?</w:t>
            </w:r>
          </w:p>
        </w:tc>
        <w:tc>
          <w:tcPr>
            <w:tcW w:type="dxa" w:w="4903"/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Entrega da obra em out/2026 e operação em jan/2027: a implantação define contratos, rateios e rotinas que valem pelos próximos anos.</w:t>
            </w:r>
          </w:p>
        </w:tc>
      </w:tr>
      <w:tr>
        <w:trPr>
          <w:cantSplit/>
        </w:trPr>
        <w:tc>
          <w:tcPr>
            <w:tcW w:type="dxa" w:w="530"/>
            <w:shd w:fill="F5F5F5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10</w:t>
            </w:r>
          </w:p>
        </w:tc>
        <w:tc>
          <w:tcPr>
            <w:tcW w:type="dxa" w:w="3917"/>
            <w:shd w:fill="F5F5F5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Vocês têm experiência hospitalar?</w:t>
            </w:r>
          </w:p>
        </w:tc>
        <w:tc>
          <w:tcPr>
            <w:tcW w:type="dxa" w:w="4903"/>
            <w:shd w:fill="F5F5F5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Hoje, no O Parque, gerimos a implantação de um complexo multiuso com a torre do Hospital Sírio-Libanês — com os sistemas críticos que a operação hospitalar exige.</w:t>
            </w:r>
          </w:p>
        </w:tc>
      </w:tr>
      <w:tr>
        <w:trPr>
          <w:cantSplit/>
        </w:trPr>
        <w:tc>
          <w:tcPr>
            <w:tcW w:type="dxa" w:w="530"/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11</w:t>
            </w:r>
          </w:p>
        </w:tc>
        <w:tc>
          <w:tcPr>
            <w:tcW w:type="dxa" w:w="3917"/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Têm algum conflito de interesse?</w:t>
            </w:r>
          </w:p>
        </w:tc>
        <w:tc>
          <w:tcPr>
            <w:tcW w:type="dxa" w:w="4903"/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Nenhum vínculo com condomínios, administradoras, proprietários ou gestores das unidades — declaração assinada já entregue. Fornecedores serão verificados na mobilização.</w:t>
            </w:r>
          </w:p>
        </w:tc>
      </w:tr>
      <w:tr>
        <w:trPr>
          <w:cantSplit/>
        </w:trPr>
        <w:tc>
          <w:tcPr>
            <w:tcW w:type="dxa" w:w="530"/>
            <w:shd w:fill="F5F5F5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12</w:t>
            </w:r>
          </w:p>
        </w:tc>
        <w:tc>
          <w:tcPr>
            <w:tcW w:type="dxa" w:w="3917"/>
            <w:shd w:fill="F5F5F5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O dashboard é um sistema?</w:t>
            </w:r>
          </w:p>
        </w:tc>
        <w:tc>
          <w:tcPr>
            <w:tcW w:type="dxa" w:w="4903"/>
            <w:shd w:fill="F5F5F5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Não: é entregue como relatório gráfico mensal a partir de D+90, nos canais autorizados pelo Einstein (LGPD).</w:t>
            </w:r>
          </w:p>
        </w:tc>
      </w:tr>
      <w:tr>
        <w:trPr>
          <w:cantSplit/>
        </w:trPr>
        <w:tc>
          <w:tcPr>
            <w:tcW w:type="dxa" w:w="530"/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13</w:t>
            </w:r>
          </w:p>
        </w:tc>
        <w:tc>
          <w:tcPr>
            <w:tcW w:type="dxa" w:w="3917"/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Como fica a LGPD?</w:t>
            </w:r>
          </w:p>
        </w:tc>
        <w:tc>
          <w:tcPr>
            <w:tcW w:type="dxa" w:w="4903"/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Diretora de LGPD dedicada; documentos do Einstein só pelos canais autorizados; acesso restrito ao time do contrato; incidentes comunicados de imediato.</w:t>
            </w:r>
          </w:p>
        </w:tc>
      </w:tr>
      <w:tr>
        <w:trPr>
          <w:cantSplit/>
        </w:trPr>
        <w:tc>
          <w:tcPr>
            <w:tcW w:type="dxa" w:w="530"/>
            <w:shd w:fill="F5F5F5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14</w:t>
            </w:r>
          </w:p>
        </w:tc>
        <w:tc>
          <w:tcPr>
            <w:tcW w:type="dxa" w:w="3917"/>
            <w:shd w:fill="F5F5F5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O que vocês precisam do Einstein para começar?</w:t>
            </w:r>
          </w:p>
        </w:tc>
        <w:tc>
          <w:tcPr>
            <w:tcW w:type="dxa" w:w="4903"/>
            <w:shd w:fill="F5F5F5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Ata de eleição e procurações, convenção, contratos, 12 meses de prestação de contas, contatos e as alçadas internas (slide de apoio 23, oculto).</w:t>
            </w:r>
          </w:p>
        </w:tc>
      </w:tr>
      <w:tr>
        <w:trPr>
          <w:cantSplit/>
        </w:trPr>
        <w:tc>
          <w:tcPr>
            <w:tcW w:type="dxa" w:w="530"/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15</w:t>
            </w:r>
          </w:p>
        </w:tc>
        <w:tc>
          <w:tcPr>
            <w:tcW w:type="dxa" w:w="3917"/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Qual o primeiro resultado concreto?</w:t>
            </w:r>
          </w:p>
        </w:tc>
        <w:tc>
          <w:tcPr>
            <w:tcW w:type="dxa" w:w="4903"/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Primeiro relatório executivo em D+30 e, se a Previsão Orçamentária 2027 ainda não estiver aprovada, sua revisão com prioridade.</w:t>
            </w:r>
          </w:p>
        </w:tc>
      </w:tr>
      <w:tr>
        <w:trPr>
          <w:cantSplit/>
        </w:trPr>
        <w:tc>
          <w:tcPr>
            <w:tcW w:type="dxa" w:w="530"/>
            <w:shd w:fill="F5F5F5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16</w:t>
            </w:r>
          </w:p>
        </w:tc>
        <w:tc>
          <w:tcPr>
            <w:tcW w:type="dxa" w:w="3917"/>
            <w:shd w:fill="F5F5F5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O Einstein vai precisar usar o sistema de vocês?</w:t>
            </w:r>
          </w:p>
        </w:tc>
        <w:tc>
          <w:tcPr>
            <w:tcW w:type="dxa" w:w="4903"/>
            <w:shd w:fill="F5F5F5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Não. O Boletim e as rotinas são ferramentas da DF; o Einstein recebe os resultados nos relatórios e pareceres, pelos canais que autorizar.</w:t>
            </w:r>
          </w:p>
        </w:tc>
      </w:tr>
      <w:tr>
        <w:trPr>
          <w:cantSplit/>
        </w:trPr>
        <w:tc>
          <w:tcPr>
            <w:tcW w:type="dxa" w:w="530"/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17</w:t>
            </w:r>
          </w:p>
        </w:tc>
        <w:tc>
          <w:tcPr>
            <w:tcW w:type="dxa" w:w="3917"/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Esses sistemas são da DF ou de terceiros?</w:t>
            </w:r>
          </w:p>
        </w:tc>
        <w:tc>
          <w:tcPr>
            <w:tcW w:type="dxa" w:w="4903"/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Desenvolvidos pela DF.</w:t>
            </w:r>
          </w:p>
        </w:tc>
      </w:tr>
    </w:tbl>
    <w:p>
      <w:pPr>
        <w:spacing w:after="120"/>
      </w:pPr>
    </w:p>
    <w:p>
      <w:pPr>
        <w:pStyle w:val="Heading1"/>
        <w:keepNext/>
        <w:pBdr>
          <w:bottom w:val="single" w:color="2F4162" w:sz="8" w:space="4"/>
        </w:pBdr>
        <w:spacing w:after="180" w:before="380"/>
      </w:pPr>
      <w:r>
        <w:rPr>
          <w:rFonts w:ascii="Calibri" w:cs="Calibri" w:eastAsia="Calibri" w:hAnsi="Calibri"/>
          <w:b/>
          <w:bCs/>
          <w:color w:val="2F4162"/>
          <w:sz w:val="26"/>
          <w:szCs w:val="26"/>
        </w:rPr>
        <w:t xml:space="preserve">7. Checklist técnico do Teams</w:t>
      </w:r>
    </w:p>
    <w:p>
      <w:pPr>
        <w:pStyle w:val="ListParagraph"/>
        <w:numPr>
          <w:ilvl w:val="0"/>
          <w:numId w:val="1"/>
        </w:numPr>
        <w:spacing w:after="110" w:line="290"/>
        <w:ind w:left="360"/>
        <w:jc w:val="both"/>
      </w:pPr>
      <w:r>
        <w:rPr>
          <w:rFonts w:ascii="Calibri" w:cs="Calibri" w:eastAsia="Calibri" w:hAnsi="Calibri"/>
          <w:color w:val="1F2A37"/>
          <w:sz w:val="20"/>
          <w:szCs w:val="20"/>
        </w:rPr>
        <w:t xml:space="preserve">Entrar 10 minutos antes; testar áudio, câmera e compartilhamento de tela.</w:t>
      </w:r>
    </w:p>
    <w:p>
      <w:pPr>
        <w:pStyle w:val="ListParagraph"/>
        <w:numPr>
          <w:ilvl w:val="0"/>
          <w:numId w:val="1"/>
        </w:numPr>
        <w:spacing w:after="110" w:line="290"/>
        <w:ind w:left="360"/>
        <w:jc w:val="both"/>
      </w:pPr>
      <w:r>
        <w:rPr>
          <w:rFonts w:ascii="Calibri" w:cs="Calibri" w:eastAsia="Calibri" w:hAnsi="Calibri"/>
          <w:b/>
          <w:bCs/>
          <w:color w:val="1F2A37"/>
          <w:sz w:val="20"/>
          <w:szCs w:val="20"/>
        </w:rPr>
        <w:t xml:space="preserve">Caio compartilha a tela</w:t>
      </w:r>
      <w:r>
        <w:rPr>
          <w:rFonts w:ascii="Calibri" w:cs="Calibri" w:eastAsia="Calibri" w:hAnsi="Calibri"/>
          <w:color w:val="1F2A37"/>
          <w:sz w:val="20"/>
          <w:szCs w:val="20"/>
        </w:rPr>
        <w:t xml:space="preserve"> e passa os slides; a Denise acompanha as notas do apresentador (PDF ou PowerPoint) em outra tela.</w:t>
      </w:r>
    </w:p>
    <w:p>
      <w:pPr>
        <w:pStyle w:val="ListParagraph"/>
        <w:numPr>
          <w:ilvl w:val="0"/>
          <w:numId w:val="1"/>
        </w:numPr>
        <w:spacing w:after="110" w:line="290"/>
        <w:ind w:left="360"/>
        <w:jc w:val="both"/>
      </w:pPr>
      <w:r>
        <w:rPr>
          <w:rFonts w:ascii="Calibri" w:cs="Calibri" w:eastAsia="Calibri" w:hAnsi="Calibri"/>
          <w:color w:val="1F2A37"/>
          <w:sz w:val="20"/>
          <w:szCs w:val="20"/>
        </w:rPr>
        <w:t xml:space="preserve">Abrir o PowerPoint em modo de apresentação; ter o PDF da apresentação aberto como reserva.</w:t>
      </w:r>
    </w:p>
    <w:p>
      <w:pPr>
        <w:pStyle w:val="ListParagraph"/>
        <w:numPr>
          <w:ilvl w:val="0"/>
          <w:numId w:val="1"/>
        </w:numPr>
        <w:spacing w:after="110" w:line="290"/>
        <w:ind w:left="360"/>
        <w:jc w:val="both"/>
      </w:pPr>
      <w:r>
        <w:rPr>
          <w:rFonts w:ascii="Calibri" w:cs="Calibri" w:eastAsia="Calibri" w:hAnsi="Calibri"/>
          <w:color w:val="1F2A37"/>
          <w:sz w:val="20"/>
          <w:szCs w:val="20"/>
        </w:rPr>
        <w:t xml:space="preserve">Câmeras ligadas; apoio (Amanda, Marco, Cláudia, André) com microfone mudo até ser chamado.</w:t>
      </w:r>
    </w:p>
    <w:p>
      <w:pPr>
        <w:pStyle w:val="ListParagraph"/>
        <w:numPr>
          <w:ilvl w:val="0"/>
          <w:numId w:val="1"/>
        </w:numPr>
        <w:spacing w:after="110" w:line="290"/>
        <w:ind w:left="360"/>
        <w:jc w:val="both"/>
      </w:pPr>
      <w:r>
        <w:rPr>
          <w:rFonts w:ascii="Calibri" w:cs="Calibri" w:eastAsia="Calibri" w:hAnsi="Calibri"/>
          <w:color w:val="1F2A37"/>
          <w:sz w:val="20"/>
          <w:szCs w:val="20"/>
        </w:rPr>
        <w:t xml:space="preserve">Ter abertos: propostas técnicas enviadas, carta de aceite, declaração de independência e o e-mail de 30/09 da Tami.</w:t>
      </w:r>
    </w:p>
    <w:p>
      <w:pPr>
        <w:pStyle w:val="Heading1"/>
        <w:keepNext/>
        <w:pBdr>
          <w:bottom w:val="single" w:color="2F4162" w:sz="8" w:space="4"/>
        </w:pBdr>
        <w:spacing w:after="180" w:before="380"/>
      </w:pPr>
      <w:r>
        <w:rPr>
          <w:rFonts w:ascii="Calibri" w:cs="Calibri" w:eastAsia="Calibri" w:hAnsi="Calibri"/>
          <w:b/>
          <w:bCs/>
          <w:color w:val="2F4162"/>
          <w:sz w:val="26"/>
          <w:szCs w:val="26"/>
        </w:rPr>
        <w:t xml:space="preserve">8. Depois da reunião (em até 24 horas)</w:t>
      </w:r>
    </w:p>
    <w:p>
      <w:pPr>
        <w:pStyle w:val="ListParagraph"/>
        <w:numPr>
          <w:ilvl w:val="0"/>
          <w:numId w:val="1"/>
        </w:numPr>
        <w:spacing w:after="110" w:line="290"/>
        <w:ind w:left="360"/>
        <w:jc w:val="both"/>
      </w:pPr>
      <w:r>
        <w:rPr>
          <w:rFonts w:ascii="Calibri" w:cs="Calibri" w:eastAsia="Calibri" w:hAnsi="Calibri"/>
          <w:color w:val="1F2A37"/>
          <w:sz w:val="20"/>
          <w:szCs w:val="20"/>
        </w:rPr>
        <w:t xml:space="preserve">Enviar à Tami o relatório executivo em PDF e a apresentação em PDF.</w:t>
      </w:r>
    </w:p>
    <w:p>
      <w:pPr>
        <w:pStyle w:val="ListParagraph"/>
        <w:numPr>
          <w:ilvl w:val="0"/>
          <w:numId w:val="1"/>
        </w:numPr>
        <w:spacing w:after="110" w:line="290"/>
        <w:ind w:left="360"/>
        <w:jc w:val="both"/>
      </w:pPr>
      <w:r>
        <w:rPr>
          <w:rFonts w:ascii="Calibri" w:cs="Calibri" w:eastAsia="Calibri" w:hAnsi="Calibri"/>
          <w:color w:val="1F2A37"/>
          <w:sz w:val="20"/>
          <w:szCs w:val="20"/>
        </w:rPr>
        <w:t xml:space="preserve">No mesmo e-mail, formalizar o ajuste de SLA (ordinária em 1 dia útil; crítica com plano de ação em até 4 h).</w:t>
      </w:r>
    </w:p>
    <w:p>
      <w:pPr>
        <w:pStyle w:val="ListParagraph"/>
        <w:numPr>
          <w:ilvl w:val="0"/>
          <w:numId w:val="1"/>
        </w:numPr>
        <w:spacing w:after="110" w:line="290"/>
        <w:ind w:left="360"/>
        <w:jc w:val="both"/>
      </w:pPr>
      <w:r>
        <w:rPr>
          <w:rFonts w:ascii="Calibri" w:cs="Calibri" w:eastAsia="Calibri" w:hAnsi="Calibri"/>
          <w:color w:val="1F2A37"/>
          <w:sz w:val="20"/>
          <w:szCs w:val="20"/>
        </w:rPr>
        <w:t xml:space="preserve">Responder por escrito qualquer pergunta que tenha ficado pendente na reunião.</w:t>
      </w:r>
    </w:p>
    <w:p>
      <w:pPr>
        <w:pStyle w:val="ListParagraph"/>
        <w:numPr>
          <w:ilvl w:val="0"/>
          <w:numId w:val="1"/>
        </w:numPr>
        <w:spacing w:after="110" w:line="290"/>
        <w:ind w:left="360"/>
        <w:jc w:val="both"/>
      </w:pPr>
      <w:r>
        <w:rPr>
          <w:rFonts w:ascii="Calibri" w:cs="Calibri" w:eastAsia="Calibri" w:hAnsi="Calibri"/>
          <w:color w:val="1F2A37"/>
          <w:sz w:val="20"/>
          <w:szCs w:val="20"/>
        </w:rPr>
        <w:t xml:space="preserve">Registrar no repositório as perguntas feitas e as respostas dadas.</w:t>
      </w:r>
    </w:p>
    <w:sectPr>
      <w:footerReference w:type="default" r:id="rId7"/>
      <w:pgSz w:w="11906" w:h="16838" w:orient="portrait"/>
      <w:pgMar w:top="950" w:right="1000" w:bottom="95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2AE6D" w:sz="8" w:space="6"/>
      </w:pBdr>
      <w:tabs>
        <w:tab w:val="right" w:pos="9026"/>
      </w:tabs>
    </w:pPr>
    <w:r>
      <w:rPr>
        <w:rFonts w:ascii="Calibri" w:cs="Calibri" w:eastAsia="Calibri" w:hAnsi="Calibri"/>
        <w:b/>
        <w:bCs/>
        <w:color w:val="2F4162"/>
        <w:sz w:val="15"/>
        <w:szCs w:val="15"/>
      </w:rPr>
      <w:t xml:space="preserve">DF SÍNDICOS PROFISSIONAIS</w:t>
    </w:r>
    <w:r>
      <w:rPr>
        <w:rFonts w:ascii="Calibri" w:cs="Calibri" w:eastAsia="Calibri" w:hAnsi="Calibri"/>
        <w:i/>
        <w:iCs/>
        <w:color w:val="5B6470"/>
        <w:sz w:val="15"/>
        <w:szCs w:val="15"/>
      </w:rPr>
      <w:t xml:space="preserve">  ·  Dossiê interno — uso exclusivo DF  —  Confidencial  ·  www.dfsindicos.com.br</w:t>
    </w:r>
    <w:r>
      <w:rPr>
        <w:rFonts w:ascii="Calibri" w:cs="Calibri" w:eastAsia="Calibri" w:hAnsi="Calibri"/>
        <w:i/>
        <w:iCs/>
        <w:color w:val="5B6470"/>
        <w:sz w:val="15"/>
        <w:szCs w:val="15"/>
      </w:rPr>
      <w:t xml:space="preserve">	Página </w:t>
    </w:r>
    <w:r>
      <w:rPr>
        <w:rFonts w:ascii="Calibri" w:cs="Calibri" w:eastAsia="Calibri" w:hAnsi="Calibri"/>
        <w:i/>
        <w:iCs/>
        <w:color w:val="5B6470"/>
        <w:sz w:val="15"/>
        <w:szCs w:val="15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F2A37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f9e9fce57de8da4069c1d127bbcf0e1730e56717.png"/><Relationship Id="rId2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2026-09-22T00:55:28.154Z</dcterms:created>
  <dcterms:modified xsi:type="dcterms:W3CDTF">2026-09-22T00:55:28.160Z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