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2382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2AE6D" w:sz="10" w:space="6"/>
        </w:pBdr>
        <w:spacing w:after="26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F4162"/>
          <w:sz w:val="32"/>
          <w:szCs w:val="32"/>
        </w:rPr>
        <w:t xml:space="preserve">DOSSIÊ DE PREPARAÇÃO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2F4162"/>
          <w:sz w:val="28"/>
          <w:szCs w:val="28"/>
        </w:rPr>
        <w:t xml:space="preserve">APRESENTAÇÃO TÉCNICA AO EINSTEIN — 13/10/2026</w:t>
      </w:r>
    </w:p>
    <w:p>
      <w:pPr>
        <w:pBdr>
          <w:bottom w:val="single" w:color="C9CDD3" w:sz="6" w:space="8"/>
        </w:pBd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Uso interno  ·  Não enviar ao cliente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3100"/>
        <w:gridCol w:w="6250"/>
      </w:tblGrid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Reunião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Terça, 13/10/2026, 10h–12h, Microsoft Teams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Condução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Denise Ferreira e Caio Gavioli</w:t>
            </w:r>
          </w:p>
        </w:tc>
      </w:tr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Apoio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Amanda Tigre, Marco Murino, Cláudia De Santi, André Ferreira da Silva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Documento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Roteiro, pontos de atenção, perguntas prováveis e checklist</w:t>
            </w:r>
          </w:p>
        </w:tc>
      </w:tr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Confidencial — uso exclusivo DF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1. A reunião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2465"/>
        <w:gridCol w:w="6885"/>
      </w:tblGrid>
      <w:tr>
        <w:trPr>
          <w:cantSplit/>
          <w:tblHeader/>
        </w:trPr>
        <w:tc>
          <w:tcPr>
            <w:tcW w:type="dxa" w:w="2465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885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Detalhe</w:t>
            </w:r>
          </w:p>
        </w:tc>
      </w:tr>
      <w:tr>
        <w:trPr>
          <w:cantSplit/>
        </w:trPr>
        <w:tc>
          <w:tcPr>
            <w:tcW w:type="dxa" w:w="246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Data e local</w:t>
            </w:r>
          </w:p>
        </w:tc>
        <w:tc>
          <w:tcPr>
            <w:tcW w:type="dxa" w:w="688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Terça, 13/10/2026, 10h às 12h — Microsoft Teams (link no convite da Tami)</w:t>
            </w:r>
          </w:p>
        </w:tc>
      </w:tr>
      <w:tr>
        <w:trPr>
          <w:cantSplit/>
        </w:trPr>
        <w:tc>
          <w:tcPr>
            <w:tcW w:type="dxa" w:w="246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Objetivo, nas palavras do Einstein</w:t>
            </w:r>
          </w:p>
        </w:tc>
        <w:tc>
          <w:tcPr>
            <w:tcW w:type="dxa" w:w="688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"Apresentar, de forma estruturada, sua empresa e a solução proposta"; "defesa técnica da proposta"; "saneamento das dúvidas"; "alinhamento quanto ao escopo, modelo operacional e premissas da solução"</w:t>
            </w:r>
          </w:p>
        </w:tc>
      </w:tr>
      <w:tr>
        <w:trPr>
          <w:cantSplit/>
        </w:trPr>
        <w:tc>
          <w:tcPr>
            <w:tcW w:type="dxa" w:w="246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Einstein</w:t>
            </w:r>
          </w:p>
        </w:tc>
        <w:tc>
          <w:tcPr>
            <w:tcW w:type="dxa" w:w="688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Tami Del Grego Favero (Compras Indiretas), Pedro Orlando Victor Galletta Filho, Mariana Cavalcante (contato da visita ao Parque Global), Samara dos Santos Ricardo, Viviane Gomes Lopes Fialho; cc Gislene Carine dos Santos</w:t>
            </w:r>
          </w:p>
        </w:tc>
      </w:tr>
      <w:tr>
        <w:trPr>
          <w:cantSplit/>
        </w:trPr>
        <w:tc>
          <w:tcPr>
            <w:tcW w:type="dxa" w:w="246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Premissa sobre os cargos</w:t>
            </w:r>
          </w:p>
        </w:tc>
        <w:tc>
          <w:tcPr>
            <w:tcW w:type="dxa" w:w="688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Cargos não confirmados. Assumimos três públicos: Compras, Facilities e Operações</w:t>
            </w:r>
          </w:p>
        </w:tc>
      </w:tr>
      <w:tr>
        <w:trPr>
          <w:cantSplit/>
        </w:trPr>
        <w:tc>
          <w:tcPr>
            <w:tcW w:type="dxa" w:w="246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DF</w:t>
            </w:r>
          </w:p>
        </w:tc>
        <w:tc>
          <w:tcPr>
            <w:tcW w:type="dxa" w:w="688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Denise Ferreira e Caio Gavioli conduzem juntos (Caio compartilha a tela); Amanda Tigre, Marco Murino, Cláudia De Santi e André Ferreira da Silva de apoio às perguntas</w:t>
            </w:r>
          </w:p>
        </w:tc>
      </w:tr>
      <w:tr>
        <w:trPr>
          <w:cantSplit/>
        </w:trPr>
        <w:tc>
          <w:tcPr>
            <w:tcW w:type="dxa" w:w="246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Material</w:t>
            </w:r>
          </w:p>
        </w:tc>
        <w:tc>
          <w:tcPr>
            <w:tcW w:type="dxa" w:w="688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Apresentação PowerPoint (20 slides, 18 de exposição + 2 de apoio); relatório executivo para enviar depois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2. As cinco mensagens que precisam ficar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Independência: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a DF não é administradora — fiscaliza quem executa, em nome do Einstein.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Entendimento: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três unidades, três desafios; dedicação calibrada para cada uma.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Rateio: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casos reais de subsídio cruzado corrigidos (SPHQ I, 17007).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Governança à prova de risco: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nenhum voto sem autorização escrita; SLAs iguais ou melhores que a referência.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Hospital em condomínio multiuso: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já fazemos isso hoje no O Parque.</w:t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3. Roteiro e tempo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1184"/>
        <w:gridCol w:w="4911"/>
        <w:gridCol w:w="1729"/>
        <w:gridCol w:w="1526"/>
      </w:tblGrid>
      <w:tr>
        <w:trPr>
          <w:cantSplit/>
          <w:tblHeader/>
        </w:trPr>
        <w:tc>
          <w:tcPr>
            <w:tcW w:type="dxa" w:w="1184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Slide</w:t>
            </w:r>
          </w:p>
        </w:tc>
        <w:tc>
          <w:tcPr>
            <w:tcW w:type="dxa" w:w="4911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  <w:tc>
          <w:tcPr>
            <w:tcW w:type="dxa" w:w="1729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conduz</w:t>
            </w:r>
          </w:p>
        </w:tc>
        <w:tc>
          <w:tcPr>
            <w:tcW w:type="dxa" w:w="1526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</w:tr>
      <w:tr>
        <w:trPr>
          <w:cantSplit/>
        </w:trPr>
        <w:tc>
          <w:tcPr>
            <w:tcW w:type="dxa" w:w="118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1–2</w:t>
            </w:r>
          </w:p>
        </w:tc>
        <w:tc>
          <w:tcPr>
            <w:tcW w:type="dxa" w:w="4911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Abertura e agenda</w:t>
            </w:r>
          </w:p>
        </w:tc>
        <w:tc>
          <w:tcPr>
            <w:tcW w:type="dxa" w:w="1729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Denise</w:t>
            </w:r>
          </w:p>
        </w:tc>
        <w:tc>
          <w:tcPr>
            <w:tcW w:type="dxa" w:w="1526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3 min</w:t>
            </w:r>
          </w:p>
        </w:tc>
      </w:tr>
      <w:tr>
        <w:trPr>
          <w:cantSplit/>
        </w:trPr>
        <w:tc>
          <w:tcPr>
            <w:tcW w:type="dxa" w:w="1184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3</w:t>
            </w:r>
          </w:p>
        </w:tc>
        <w:tc>
          <w:tcPr>
            <w:tcW w:type="dxa" w:w="4911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Três unidades, três desafios</w:t>
            </w:r>
          </w:p>
        </w:tc>
        <w:tc>
          <w:tcPr>
            <w:tcW w:type="dxa" w:w="1729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Caio</w:t>
            </w:r>
          </w:p>
        </w:tc>
        <w:tc>
          <w:tcPr>
            <w:tcW w:type="dxa" w:w="1526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4 min</w:t>
            </w:r>
          </w:p>
        </w:tc>
      </w:tr>
      <w:tr>
        <w:trPr>
          <w:cantSplit/>
        </w:trPr>
        <w:tc>
          <w:tcPr>
            <w:tcW w:type="dxa" w:w="118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4</w:t>
            </w:r>
          </w:p>
        </w:tc>
        <w:tc>
          <w:tcPr>
            <w:tcW w:type="dxa" w:w="4911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Governança × operação</w:t>
            </w:r>
          </w:p>
        </w:tc>
        <w:tc>
          <w:tcPr>
            <w:tcW w:type="dxa" w:w="1729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Denise</w:t>
            </w:r>
          </w:p>
        </w:tc>
        <w:tc>
          <w:tcPr>
            <w:tcW w:type="dxa" w:w="1526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4 min</w:t>
            </w:r>
          </w:p>
        </w:tc>
      </w:tr>
      <w:tr>
        <w:trPr>
          <w:cantSplit/>
        </w:trPr>
        <w:tc>
          <w:tcPr>
            <w:tcW w:type="dxa" w:w="1184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5–6</w:t>
            </w:r>
          </w:p>
        </w:tc>
        <w:tc>
          <w:tcPr>
            <w:tcW w:type="dxa" w:w="4911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DF em números e equipe</w:t>
            </w:r>
          </w:p>
        </w:tc>
        <w:tc>
          <w:tcPr>
            <w:tcW w:type="dxa" w:w="1729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Denise</w:t>
            </w:r>
          </w:p>
        </w:tc>
        <w:tc>
          <w:tcPr>
            <w:tcW w:type="dxa" w:w="1526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4 min</w:t>
            </w:r>
          </w:p>
        </w:tc>
      </w:tr>
      <w:tr>
        <w:trPr>
          <w:cantSplit/>
        </w:trPr>
        <w:tc>
          <w:tcPr>
            <w:tcW w:type="dxa" w:w="118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7–8</w:t>
            </w:r>
          </w:p>
        </w:tc>
        <w:tc>
          <w:tcPr>
            <w:tcW w:type="dxa" w:w="4911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Cases</w:t>
            </w:r>
          </w:p>
        </w:tc>
        <w:tc>
          <w:tcPr>
            <w:tcW w:type="dxa" w:w="1729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Denise e Caio</w:t>
            </w:r>
          </w:p>
        </w:tc>
        <w:tc>
          <w:tcPr>
            <w:tcW w:type="dxa" w:w="1526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6 min</w:t>
            </w:r>
          </w:p>
        </w:tc>
      </w:tr>
      <w:tr>
        <w:trPr>
          <w:cantSplit/>
        </w:trPr>
        <w:tc>
          <w:tcPr>
            <w:tcW w:type="dxa" w:w="1184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9</w:t>
            </w:r>
          </w:p>
        </w:tc>
        <w:tc>
          <w:tcPr>
            <w:tcW w:type="dxa" w:w="4911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Metodologia de rateio</w:t>
            </w:r>
          </w:p>
        </w:tc>
        <w:tc>
          <w:tcPr>
            <w:tcW w:type="dxa" w:w="1729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Caio</w:t>
            </w:r>
          </w:p>
        </w:tc>
        <w:tc>
          <w:tcPr>
            <w:tcW w:type="dxa" w:w="1526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4 min</w:t>
            </w:r>
          </w:p>
        </w:tc>
      </w:tr>
      <w:tr>
        <w:trPr>
          <w:cantSplit/>
        </w:trPr>
        <w:tc>
          <w:tcPr>
            <w:tcW w:type="dxa" w:w="118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10</w:t>
            </w:r>
          </w:p>
        </w:tc>
        <w:tc>
          <w:tcPr>
            <w:tcW w:type="dxa" w:w="4911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Presença por unidade</w:t>
            </w:r>
          </w:p>
        </w:tc>
        <w:tc>
          <w:tcPr>
            <w:tcW w:type="dxa" w:w="1729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Denise</w:t>
            </w:r>
          </w:p>
        </w:tc>
        <w:tc>
          <w:tcPr>
            <w:tcW w:type="dxa" w:w="1526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2 min</w:t>
            </w:r>
          </w:p>
        </w:tc>
      </w:tr>
      <w:tr>
        <w:trPr>
          <w:cantSplit/>
        </w:trPr>
        <w:tc>
          <w:tcPr>
            <w:tcW w:type="dxa" w:w="1184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11</w:t>
            </w:r>
          </w:p>
        </w:tc>
        <w:tc>
          <w:tcPr>
            <w:tcW w:type="dxa" w:w="4911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SLAs</w:t>
            </w:r>
          </w:p>
        </w:tc>
        <w:tc>
          <w:tcPr>
            <w:tcW w:type="dxa" w:w="1729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Denise</w:t>
            </w:r>
          </w:p>
        </w:tc>
        <w:tc>
          <w:tcPr>
            <w:tcW w:type="dxa" w:w="1526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3 min</w:t>
            </w:r>
          </w:p>
        </w:tc>
      </w:tr>
      <w:tr>
        <w:trPr>
          <w:cantSplit/>
        </w:trPr>
        <w:tc>
          <w:tcPr>
            <w:tcW w:type="dxa" w:w="118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12</w:t>
            </w:r>
          </w:p>
        </w:tc>
        <w:tc>
          <w:tcPr>
            <w:tcW w:type="dxa" w:w="4911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Governança de voto</w:t>
            </w:r>
          </w:p>
        </w:tc>
        <w:tc>
          <w:tcPr>
            <w:tcW w:type="dxa" w:w="1729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Denise</w:t>
            </w:r>
          </w:p>
        </w:tc>
        <w:tc>
          <w:tcPr>
            <w:tcW w:type="dxa" w:w="1526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3 min</w:t>
            </w:r>
          </w:p>
        </w:tc>
      </w:tr>
      <w:tr>
        <w:trPr>
          <w:cantSplit/>
        </w:trPr>
        <w:tc>
          <w:tcPr>
            <w:tcW w:type="dxa" w:w="1184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13–14</w:t>
            </w:r>
          </w:p>
        </w:tc>
        <w:tc>
          <w:tcPr>
            <w:tcW w:type="dxa" w:w="4911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Entregáveis e mobilização</w:t>
            </w:r>
          </w:p>
        </w:tc>
        <w:tc>
          <w:tcPr>
            <w:tcW w:type="dxa" w:w="1729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Caio</w:t>
            </w:r>
          </w:p>
        </w:tc>
        <w:tc>
          <w:tcPr>
            <w:tcW w:type="dxa" w:w="1526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4 min</w:t>
            </w:r>
          </w:p>
        </w:tc>
      </w:tr>
      <w:tr>
        <w:trPr>
          <w:cantSplit/>
        </w:trPr>
        <w:tc>
          <w:tcPr>
            <w:tcW w:type="dxa" w:w="118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15–16</w:t>
            </w:r>
          </w:p>
        </w:tc>
        <w:tc>
          <w:tcPr>
            <w:tcW w:type="dxa" w:w="4911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Continuidade e escopo</w:t>
            </w:r>
          </w:p>
        </w:tc>
        <w:tc>
          <w:tcPr>
            <w:tcW w:type="dxa" w:w="1729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Denise</w:t>
            </w:r>
          </w:p>
        </w:tc>
        <w:tc>
          <w:tcPr>
            <w:tcW w:type="dxa" w:w="1526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4 min</w:t>
            </w:r>
          </w:p>
        </w:tc>
      </w:tr>
      <w:tr>
        <w:trPr>
          <w:cantSplit/>
        </w:trPr>
        <w:tc>
          <w:tcPr>
            <w:tcW w:type="dxa" w:w="1184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17–18</w:t>
            </w:r>
          </w:p>
        </w:tc>
        <w:tc>
          <w:tcPr>
            <w:tcW w:type="dxa" w:w="4911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Por que a DF e encerramento</w:t>
            </w:r>
          </w:p>
        </w:tc>
        <w:tc>
          <w:tcPr>
            <w:tcW w:type="dxa" w:w="1729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Denise</w:t>
            </w:r>
          </w:p>
        </w:tc>
        <w:tc>
          <w:tcPr>
            <w:tcW w:type="dxa" w:w="1526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2 min</w:t>
            </w:r>
          </w:p>
        </w:tc>
      </w:tr>
      <w:tr>
        <w:trPr>
          <w:cantSplit/>
        </w:trPr>
        <w:tc>
          <w:tcPr>
            <w:tcW w:type="dxa" w:w="118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—</w:t>
            </w:r>
          </w:p>
        </w:tc>
        <w:tc>
          <w:tcPr>
            <w:tcW w:type="dxa" w:w="4911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Total da exposição</w:t>
            </w:r>
          </w:p>
        </w:tc>
        <w:tc>
          <w:tcPr>
            <w:tcW w:type="dxa" w:w="1729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526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~43 min</w:t>
            </w:r>
          </w:p>
        </w:tc>
      </w:tr>
      <w:tr>
        <w:trPr>
          <w:cantSplit/>
        </w:trPr>
        <w:tc>
          <w:tcPr>
            <w:tcW w:type="dxa" w:w="1184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—</w:t>
            </w:r>
          </w:p>
        </w:tc>
        <w:tc>
          <w:tcPr>
            <w:tcW w:type="dxa" w:w="4911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Perguntas e saneamento de dúvidas</w:t>
            </w:r>
          </w:p>
        </w:tc>
        <w:tc>
          <w:tcPr>
            <w:tcW w:type="dxa" w:w="1729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Todos</w:t>
            </w:r>
          </w:p>
        </w:tc>
        <w:tc>
          <w:tcPr>
            <w:tcW w:type="dxa" w:w="1526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~70 min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4. O que cada área quer ouvir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1475"/>
        <w:gridCol w:w="5002"/>
        <w:gridCol w:w="2873"/>
      </w:tblGrid>
      <w:tr>
        <w:trPr>
          <w:cantSplit/>
          <w:tblHeader/>
        </w:trPr>
        <w:tc>
          <w:tcPr>
            <w:tcW w:type="dxa" w:w="1475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Área (presumida)</w:t>
            </w:r>
          </w:p>
        </w:tc>
        <w:tc>
          <w:tcPr>
            <w:tcW w:type="dxa" w:w="5002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Preocupação provável</w:t>
            </w:r>
          </w:p>
        </w:tc>
        <w:tc>
          <w:tcPr>
            <w:tcW w:type="dxa" w:w="2873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Onde respondemos</w:t>
            </w:r>
          </w:p>
        </w:tc>
      </w:tr>
      <w:tr>
        <w:trPr>
          <w:cantSplit/>
        </w:trPr>
        <w:tc>
          <w:tcPr>
            <w:tcW w:type="dxa" w:w="147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Compras</w:t>
            </w:r>
          </w:p>
        </w:tc>
        <w:tc>
          <w:tcPr>
            <w:tcW w:type="dxa" w:w="500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Equalização entre proponentes; premissas claras; nada fora da mensalidade; aceite integral da minuta e dos entregáveis</w:t>
            </w:r>
          </w:p>
        </w:tc>
        <w:tc>
          <w:tcPr>
            <w:tcW w:type="dxa" w:w="287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Slides 11, 13 e 16; carta de aceite já enviada</w:t>
            </w:r>
          </w:p>
        </w:tc>
      </w:tr>
      <w:tr>
        <w:trPr>
          <w:cantSplit/>
        </w:trPr>
        <w:tc>
          <w:tcPr>
            <w:tcW w:type="dxa" w:w="147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Facilities</w:t>
            </w:r>
          </w:p>
        </w:tc>
        <w:tc>
          <w:tcPr>
            <w:tcW w:type="dxa" w:w="5002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Resposta a crise 24x7; sistemas críticos; interface com a administradora; implantação de Pinheiros</w:t>
            </w:r>
          </w:p>
        </w:tc>
        <w:tc>
          <w:tcPr>
            <w:tcW w:type="dxa" w:w="2873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Slides 3, 9, 11, 14 e 15</w:t>
            </w:r>
          </w:p>
        </w:tc>
      </w:tr>
      <w:tr>
        <w:trPr>
          <w:cantSplit/>
        </w:trPr>
        <w:tc>
          <w:tcPr>
            <w:tcW w:type="dxa" w:w="147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Operações</w:t>
            </w:r>
          </w:p>
        </w:tc>
        <w:tc>
          <w:tcPr>
            <w:tcW w:type="dxa" w:w="500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Rotina com as unidades; quem faz o quê; assembleias; relatórios</w:t>
            </w:r>
          </w:p>
        </w:tc>
        <w:tc>
          <w:tcPr>
            <w:tcW w:type="dxa" w:w="287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Slides 4, 10, 12 e 13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5. Pontos de atenção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SLA ajustado na apresentação.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A primeira resposta da ordinária caiu de 2 dias úteis (proposta enviada) para 1 dia útil, e a crítica ganhou plano de ação em até 4 h. Dizer explicitamente que é um ajuste para alinhar à referência de 30/09 e que será formalizado por escrito.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Não falar de preço.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A proposta comercial já foi enviada; se perguntarem, responder que os valores estão na proposta comercial e que a DF está aberta à fase de equalização.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Não usar "convocar e presidir assembleias" nem "aprovar despesas".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O e-mail de 01/10 usou essas expressões; a RFP diz que o subsíndico não substitui o Síndico Geral e que a decisão é sempre do Einstein.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"Olhos do dono" → "olhos do Einstein".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Em Pinheiros o Einstein é locatário de um fundo; a expressão pode soar como defesa do proprietário.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Não citar administradoras pelo nome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nem atacar concorrentes. O argumento é estrutural: quem executa não deve fiscalizar a si mesmo.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Nome do gerente financeiro: Marco Murino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(confirmado). As propostas técnicas de 01/10 grafaram "Murilo" — se surgir, corrigir verbalmente; o relatório executivo já está certo.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Cases sem valor em R$.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Se pedirem números, responder qualitativamente e oferecer o contato de referência do cliente.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Sírio-Libanês: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pode ser citado — a locação é pública.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Pagamento em 90 dias e reajuste anual: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já aceitos na carta de aceite da minuta; não reabrir.</w:t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6. Perguntas prováveis e respostas sugeridas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530"/>
        <w:gridCol w:w="3897"/>
        <w:gridCol w:w="4923"/>
      </w:tblGrid>
      <w:tr>
        <w:trPr>
          <w:cantSplit/>
          <w:tblHeader/>
        </w:trPr>
        <w:tc>
          <w:tcPr>
            <w:tcW w:type="dxa" w:w="530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97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Pergunta provável</w:t>
            </w:r>
          </w:p>
        </w:tc>
        <w:tc>
          <w:tcPr>
            <w:tcW w:type="dxa" w:w="4923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Resposta sugerida</w:t>
            </w:r>
          </w:p>
        </w:tc>
      </w:tr>
      <w:tr>
        <w:trPr>
          <w:cantSplit/>
        </w:trPr>
        <w:tc>
          <w:tcPr>
            <w:tcW w:type="dxa" w:w="53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</w:t>
            </w:r>
          </w:p>
        </w:tc>
        <w:tc>
          <w:tcPr>
            <w:tcW w:type="dxa" w:w="38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Qual a diferença entre a DF e uma administradora predial?</w:t>
            </w:r>
          </w:p>
        </w:tc>
        <w:tc>
          <w:tcPr>
            <w:tcW w:type="dxa" w:w="492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 administradora executa (operação, financeiro, equipes). A DF representa o Einstein e fiscaliza quem executa. Se a mesma empresa fizer as duas coisas, ninguém fiscaliza a administradora.</w:t>
            </w:r>
          </w:p>
        </w:tc>
      </w:tr>
      <w:tr>
        <w:trPr>
          <w:cantSplit/>
        </w:trPr>
        <w:tc>
          <w:tcPr>
            <w:tcW w:type="dxa" w:w="53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2</w:t>
            </w:r>
          </w:p>
        </w:tc>
        <w:tc>
          <w:tcPr>
            <w:tcW w:type="dxa" w:w="389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Vocês vão votar em nome do Einstein?</w:t>
            </w:r>
          </w:p>
        </w:tc>
        <w:tc>
          <w:tcPr>
            <w:tcW w:type="dxa" w:w="4923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Só com autorização escrita, inclusive em matérias de rotina. Imprevisto em assembleia: abstenção, ressalva em ata ou adiamento e comunicação no mesmo dia.</w:t>
            </w:r>
          </w:p>
        </w:tc>
      </w:tr>
      <w:tr>
        <w:trPr>
          <w:cantSplit/>
        </w:trPr>
        <w:tc>
          <w:tcPr>
            <w:tcW w:type="dxa" w:w="53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3</w:t>
            </w:r>
          </w:p>
        </w:tc>
        <w:tc>
          <w:tcPr>
            <w:tcW w:type="dxa" w:w="38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Por que o SLA da ordinária mudou?</w:t>
            </w:r>
          </w:p>
        </w:tc>
        <w:tc>
          <w:tcPr>
            <w:tcW w:type="dxa" w:w="492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Recebemos a referência do Einstein e alinhamos: 1 dia útil para a primeira resposta. Formalizamos por escrito após a reunião.</w:t>
            </w:r>
          </w:p>
        </w:tc>
      </w:tr>
      <w:tr>
        <w:trPr>
          <w:cantSplit/>
        </w:trPr>
        <w:tc>
          <w:tcPr>
            <w:tcW w:type="dxa" w:w="53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4</w:t>
            </w:r>
          </w:p>
        </w:tc>
        <w:tc>
          <w:tcPr>
            <w:tcW w:type="dxa" w:w="389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Quem atende de madrugada numa ocorrência crítica?</w:t>
            </w:r>
          </w:p>
        </w:tc>
        <w:tc>
          <w:tcPr>
            <w:tcW w:type="dxa" w:w="4923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Plantão telefônico: Denise → Amanda → Caio → prepostos. Resposta em até 30 min, plano de ação em até 4 h, presença em até 6 h.</w:t>
            </w:r>
          </w:p>
        </w:tc>
      </w:tr>
      <w:tr>
        <w:trPr>
          <w:cantSplit/>
        </w:trPr>
        <w:tc>
          <w:tcPr>
            <w:tcW w:type="dxa" w:w="53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5</w:t>
            </w:r>
          </w:p>
        </w:tc>
        <w:tc>
          <w:tcPr>
            <w:tcW w:type="dxa" w:w="38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E se a Denise sair de férias ou ficar doente?</w:t>
            </w:r>
          </w:p>
        </w:tc>
        <w:tc>
          <w:tcPr>
            <w:tcW w:type="dxa" w:w="492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Dois substitutos qualificados e todo o histórico no repositório corporativo (OneDrive) — a substituição é imediata, sem perda de informação.</w:t>
            </w:r>
          </w:p>
        </w:tc>
      </w:tr>
      <w:tr>
        <w:trPr>
          <w:cantSplit/>
        </w:trPr>
        <w:tc>
          <w:tcPr>
            <w:tcW w:type="dxa" w:w="53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6</w:t>
            </w:r>
          </w:p>
        </w:tc>
        <w:tc>
          <w:tcPr>
            <w:tcW w:type="dxa" w:w="389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Como vocês tratam os sistemas críticos de Pinheiros no rateio?</w:t>
            </w:r>
          </w:p>
        </w:tc>
        <w:tc>
          <w:tcPr>
            <w:tcW w:type="dxa" w:w="4923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É o primeiro ponto do diagnóstico: mapear o que o Einstein opera e paga e que também atende outros setores, e propor critério de reembolso ou rateio fundamentado na convenção.</w:t>
            </w:r>
          </w:p>
        </w:tc>
      </w:tr>
      <w:tr>
        <w:trPr>
          <w:cantSplit/>
        </w:trPr>
        <w:tc>
          <w:tcPr>
            <w:tcW w:type="dxa" w:w="53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7</w:t>
            </w:r>
          </w:p>
        </w:tc>
        <w:tc>
          <w:tcPr>
            <w:tcW w:type="dxa" w:w="38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Vocês elaboram balancetes e prestação de contas?</w:t>
            </w:r>
          </w:p>
        </w:tc>
        <w:tc>
          <w:tcPr>
            <w:tcW w:type="dxa" w:w="492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Não — é papel da administradora. A DF revisa, valida e cobra correções.</w:t>
            </w:r>
          </w:p>
        </w:tc>
      </w:tr>
      <w:tr>
        <w:trPr>
          <w:cantSplit/>
        </w:trPr>
        <w:tc>
          <w:tcPr>
            <w:tcW w:type="dxa" w:w="53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8</w:t>
            </w:r>
          </w:p>
        </w:tc>
        <w:tc>
          <w:tcPr>
            <w:tcW w:type="dxa" w:w="389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O que gera cobrança extra?</w:t>
            </w:r>
          </w:p>
        </w:tc>
        <w:tc>
          <w:tcPr>
            <w:tcW w:type="dxa" w:w="4923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Só laudos e perícias de terceiros, escritórios externos e contencioso, auditoria independente, custas cartoriais e viagens fora da Grande SP — sempre com autorização prévia e orçamento à parte.</w:t>
            </w:r>
          </w:p>
        </w:tc>
      </w:tr>
      <w:tr>
        <w:trPr>
          <w:cantSplit/>
        </w:trPr>
        <w:tc>
          <w:tcPr>
            <w:tcW w:type="dxa" w:w="53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9</w:t>
            </w:r>
          </w:p>
        </w:tc>
        <w:tc>
          <w:tcPr>
            <w:tcW w:type="dxa" w:w="38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Por que tantas horas em Pinheiros no início?</w:t>
            </w:r>
          </w:p>
        </w:tc>
        <w:tc>
          <w:tcPr>
            <w:tcW w:type="dxa" w:w="492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Entrega da obra em out/2026 e operação em jan/2027: a implantação define contratos, rateios e rotinas que valem pelos próximos anos.</w:t>
            </w:r>
          </w:p>
        </w:tc>
      </w:tr>
      <w:tr>
        <w:trPr>
          <w:cantSplit/>
        </w:trPr>
        <w:tc>
          <w:tcPr>
            <w:tcW w:type="dxa" w:w="53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10</w:t>
            </w:r>
          </w:p>
        </w:tc>
        <w:tc>
          <w:tcPr>
            <w:tcW w:type="dxa" w:w="389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Vocês têm experiência hospitalar?</w:t>
            </w:r>
          </w:p>
        </w:tc>
        <w:tc>
          <w:tcPr>
            <w:tcW w:type="dxa" w:w="4923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Hoje, no O Parque, gerimos a implantação de um complexo multiuso com a torre do Hospital Sírio-Libanês — com os sistemas críticos que a operação hospitalar exige.</w:t>
            </w:r>
          </w:p>
        </w:tc>
      </w:tr>
      <w:tr>
        <w:trPr>
          <w:cantSplit/>
        </w:trPr>
        <w:tc>
          <w:tcPr>
            <w:tcW w:type="dxa" w:w="53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11</w:t>
            </w:r>
          </w:p>
        </w:tc>
        <w:tc>
          <w:tcPr>
            <w:tcW w:type="dxa" w:w="38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Têm algum conflito de interesse?</w:t>
            </w:r>
          </w:p>
        </w:tc>
        <w:tc>
          <w:tcPr>
            <w:tcW w:type="dxa" w:w="492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Nenhum vínculo com condomínios, administradoras, proprietários ou gestores das unidades — declaração assinada já entregue. Fornecedores serão verificados na mobilização.</w:t>
            </w:r>
          </w:p>
        </w:tc>
      </w:tr>
      <w:tr>
        <w:trPr>
          <w:cantSplit/>
        </w:trPr>
        <w:tc>
          <w:tcPr>
            <w:tcW w:type="dxa" w:w="53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12</w:t>
            </w:r>
          </w:p>
        </w:tc>
        <w:tc>
          <w:tcPr>
            <w:tcW w:type="dxa" w:w="389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O dashboard é um sistema?</w:t>
            </w:r>
          </w:p>
        </w:tc>
        <w:tc>
          <w:tcPr>
            <w:tcW w:type="dxa" w:w="4923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Não: é entregue como relatório gráfico mensal a partir de D+90, nos canais autorizados pelo Einstein (LGPD).</w:t>
            </w:r>
          </w:p>
        </w:tc>
      </w:tr>
      <w:tr>
        <w:trPr>
          <w:cantSplit/>
        </w:trPr>
        <w:tc>
          <w:tcPr>
            <w:tcW w:type="dxa" w:w="53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13</w:t>
            </w:r>
          </w:p>
        </w:tc>
        <w:tc>
          <w:tcPr>
            <w:tcW w:type="dxa" w:w="38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Como fica a LGPD?</w:t>
            </w:r>
          </w:p>
        </w:tc>
        <w:tc>
          <w:tcPr>
            <w:tcW w:type="dxa" w:w="492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Diretora de LGPD dedicada; documentos do Einstein só pelos canais autorizados; acesso restrito ao time do contrato; incidentes comunicados de imediato.</w:t>
            </w:r>
          </w:p>
        </w:tc>
      </w:tr>
      <w:tr>
        <w:trPr>
          <w:cantSplit/>
        </w:trPr>
        <w:tc>
          <w:tcPr>
            <w:tcW w:type="dxa" w:w="53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14</w:t>
            </w:r>
          </w:p>
        </w:tc>
        <w:tc>
          <w:tcPr>
            <w:tcW w:type="dxa" w:w="389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O que vocês precisam do Einstein para começar?</w:t>
            </w:r>
          </w:p>
        </w:tc>
        <w:tc>
          <w:tcPr>
            <w:tcW w:type="dxa" w:w="4923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Ata de eleição e procurações, convenção, contratos, 12 meses de prestação de contas, contatos e as alçadas internas (slide de apoio 20).</w:t>
            </w:r>
          </w:p>
        </w:tc>
      </w:tr>
      <w:tr>
        <w:trPr>
          <w:cantSplit/>
        </w:trPr>
        <w:tc>
          <w:tcPr>
            <w:tcW w:type="dxa" w:w="53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15</w:t>
            </w:r>
          </w:p>
        </w:tc>
        <w:tc>
          <w:tcPr>
            <w:tcW w:type="dxa" w:w="38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Qual o primeiro resultado concreto?</w:t>
            </w:r>
          </w:p>
        </w:tc>
        <w:tc>
          <w:tcPr>
            <w:tcW w:type="dxa" w:w="492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Primeiro relatório executivo em D+30 e, se a Previsão Orçamentária 2027 ainda não estiver aprovada, sua revisão com prioridade.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7. Checklist técnico do Teams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Entrar 10 minutos antes; testar áudio, câmera e compartilhamento de tela.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Caio compartilha a tela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e passa os slides; a Denise acompanha as notas do apresentador (PDF ou PowerPoint) em outra tela.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Abrir o PowerPoint em modo de apresentação; ter o PDF da apresentação aberto como reserva.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Câmeras ligadas; apoio (Amanda, Marco, Cláudia, André) com microfone mudo até ser chamado.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Ter abertos: propostas técnicas enviadas, carta de aceite, declaração de independência e o e-mail de 30/09 da Tami.</w:t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8. Depois da reunião (em até 24 horas)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Enviar à Tami o relatório executivo em PDF e a apresentação em PDF.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No mesmo e-mail, formalizar o ajuste de SLA (ordinária em 1 dia útil; crítica com plano de ação em até 4 h).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Responder por escrito qualquer pergunta que tenha ficado pendente na reunião.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Registrar no repositório as perguntas feitas e as respostas dadas.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AE6D" w:sz="8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2F4162"/>
        <w:sz w:val="15"/>
        <w:szCs w:val="15"/>
      </w:rPr>
      <w:t xml:space="preserve">DF SÍNDICOS PROFISSIONAIS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t xml:space="preserve">  ·  Dossiê interno — uso exclusivo DF  —  Confidencial  ·  www.dfsindicos.com.br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t xml:space="preserve">	Página 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9e9fce57de8da4069c1d127bbcf0e1730e56717.png"/><Relationship Id="rId2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2026-09-22T00:55:28.154Z</dcterms:created>
  <dcterms:modified xsi:type="dcterms:W3CDTF">2026-09-22T00:55:28.160Z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