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RELATÓRIO EXECUTIVO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DEFESA TÉCNICA — REPRESENTANTE CONDOMINIAL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Einstein  ·  Parque Global, Pinheiros e Artur de Azevedo  ·  DF Síndicos Profissionais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Cliente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Sociedade Beneficente Israelita Brasileira Albert Einstein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Processo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RFP 2026 – Representante Condominial – Unidades Artur de Azevedo, Pinheiros e Parque Global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13/10/2026 —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Proponente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DF Síndicos Profissionais Ltda. — CNPJ 20.330.326/0001-94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Profissional titular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— CEO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Data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13/10/2026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Síntese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DF Síndicos Profissionais propõe atuar como subsíndica profissional das três unidades do Einstein — Parque Global, Unidade Hospitalar Pinheiros e Espaço Einstein Artur de Azevedo — representando a Instituição nas instâncias condominiais com independência técnica, análise financeira e de rateio, e governança de voto que não admite manifestação sem autorização prévia e por escrito do Einstein.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Este relatório resume a defesa técnica apresentada em 13/10/2026 e formaliza os compromissos assumidos na reunião, inclusive o alinhamento dos SLAs à referência enviada pelo Einstein em 30/09/2026.</w:t>
      </w:r>
    </w:p>
    <w:p>
      <w:pPr>
        <w:keepNext/>
        <w:spacing w:before="220" w:after="100"/>
      </w:pPr>
      <w:r>
        <w:rPr>
          <w:rFonts w:ascii="Calibri" w:cs="Calibri" w:eastAsia="Calibri" w:hAnsi="Calibri"/>
          <w:b/>
          <w:bCs/>
          <w:color w:val="2F4162"/>
          <w:sz w:val="23"/>
          <w:szCs w:val="23"/>
        </w:rPr>
        <w:t xml:space="preserve">Compromissos centrais: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Titular dedicada (Denise Ferreira) com dois substitutos qualificados e retaguarda financeira, jurídica, de engenharia e de LGPD.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SLAs iguais ou melhores que a referência do Einstein em todos os níveis de criticidade.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Nenhum voto ou manifestação em nome do Einstein sem autorização escrita — inclusive em matérias de rotina.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Metodologia de rateio voltada a identificar e corrigir subsídios cruzados entre setores.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Aceite integral dos seis entregáveis previstos na RFP, com o primeiro relatório executivo em D+30.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O que entendemos das três unidades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611"/>
        <w:gridCol w:w="3898"/>
        <w:gridCol w:w="3841"/>
      </w:tblGrid>
      <w:tr>
        <w:trPr>
          <w:cantSplit/>
          <w:tblHeader/>
        </w:trPr>
        <w:tc>
          <w:tcPr>
            <w:tcW w:type="dxa" w:w="161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389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Situação do Einstein</w:t>
            </w:r>
          </w:p>
        </w:tc>
        <w:tc>
          <w:tcPr>
            <w:tcW w:type="dxa" w:w="384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Foco da atuação</w:t>
            </w:r>
          </w:p>
        </w:tc>
      </w:tr>
      <w:tr>
        <w:trPr>
          <w:cantSplit/>
        </w:trPr>
        <w:tc>
          <w:tcPr>
            <w:tcW w:type="dxa" w:w="16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Parque Global</w:t>
            </w:r>
          </w:p>
        </w:tc>
        <w:tc>
          <w:tcPr>
            <w:tcW w:type="dxa" w:w="389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Complexo multiuso, com setores e subcondomínios, despesas comuns e específicas e múltiplos stakeholders</w:t>
            </w:r>
          </w:p>
        </w:tc>
        <w:tc>
          <w:tcPr>
            <w:tcW w:type="dxa" w:w="38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setorial e segregação de despesas</w:t>
            </w:r>
          </w:p>
        </w:tc>
      </w:tr>
      <w:tr>
        <w:trPr>
          <w:cantSplit/>
        </w:trPr>
        <w:tc>
          <w:tcPr>
            <w:tcW w:type="dxa" w:w="161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Unidade Hospitalar Pinheiros</w:t>
            </w:r>
          </w:p>
        </w:tc>
        <w:tc>
          <w:tcPr>
            <w:tcW w:type="dxa" w:w="389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Ocupante majoritário (~95%), com sistemas críticos operados diretamente pelo Einstein; operação a partir de jan/2027</w:t>
            </w:r>
          </w:p>
        </w:tc>
        <w:tc>
          <w:tcPr>
            <w:tcW w:type="dxa" w:w="38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Rateio dos sistemas críticos e acompanhamento da implantação</w:t>
            </w:r>
          </w:p>
        </w:tc>
      </w:tr>
      <w:tr>
        <w:trPr>
          <w:cantSplit/>
        </w:trPr>
        <w:tc>
          <w:tcPr>
            <w:tcW w:type="dxa" w:w="161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Espaço Einstein Artur de Azevedo</w:t>
            </w:r>
          </w:p>
        </w:tc>
        <w:tc>
          <w:tcPr>
            <w:tcW w:type="dxa" w:w="389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Condômino minoritário (~1.400 m²) em edifício de terceiros</w:t>
            </w:r>
          </w:p>
        </w:tc>
        <w:tc>
          <w:tcPr>
            <w:tcW w:type="dxa" w:w="38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Pagar apenas o que lhe cabe e defender as necessidades da operação de saúde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O papel da DF: governança, não operação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A DF atua na esfera estratégica, institucional e de representação: representa o Einstein, analisa orçamento, rateio, contratos e contas, fiscaliza a administradora e recomenda posicionamentos. A operação diária, as equipes residentes, as contas a pagar e a receber e a elaboração de balancetes e prestações de contas permanecem com a administradora predial.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Essa separação garante que quem fiscaliza não seja quem executa. A atuação é de subsíndico setorial, nos termos da convenção: não substitui o Síndico Geral e respeita sempre as alçadas definidas pelo Einstein.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Equipe e dedicação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470"/>
        <w:gridCol w:w="3880"/>
      </w:tblGrid>
      <w:tr>
        <w:trPr>
          <w:cantSplit/>
          <w:tblHeader/>
        </w:trPr>
        <w:tc>
          <w:tcPr>
            <w:tcW w:type="dxa" w:w="547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88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Profissional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Titular — interlocução, assembleias e governança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(CEO)</w:t>
            </w:r>
          </w:p>
        </w:tc>
      </w:tr>
      <w:tr>
        <w:trPr>
          <w:cantSplit/>
        </w:trPr>
        <w:tc>
          <w:tcPr>
            <w:tcW w:type="dxa" w:w="547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Substituta — jurídico, contratos e convenção</w:t>
            </w:r>
          </w:p>
        </w:tc>
        <w:tc>
          <w:tcPr>
            <w:tcW w:type="dxa" w:w="388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Amanda Tigre (Sócia Diretora)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Substituto — engenharia, operação e sistemas críticos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 Gavioli (Diretor de Operações)</w:t>
            </w:r>
          </w:p>
        </w:tc>
      </w:tr>
      <w:tr>
        <w:trPr>
          <w:cantSplit/>
        </w:trPr>
        <w:tc>
          <w:tcPr>
            <w:tcW w:type="dxa" w:w="547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Financeiro — balancetes, orçamento e rateio</w:t>
            </w:r>
          </w:p>
        </w:tc>
        <w:tc>
          <w:tcPr>
            <w:tcW w:type="dxa" w:w="388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Marco Murino (Gerente Financeiro)</w:t>
            </w:r>
          </w:p>
        </w:tc>
      </w:tr>
      <w:tr>
        <w:trPr>
          <w:cantSplit/>
        </w:trPr>
        <w:tc>
          <w:tcPr>
            <w:tcW w:type="dxa" w:w="547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Proteção de dados (LGPD)</w:t>
            </w:r>
          </w:p>
        </w:tc>
        <w:tc>
          <w:tcPr>
            <w:tcW w:type="dxa" w:w="388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Cláudia De Santi (Diretora de LGPD)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265"/>
        <w:gridCol w:w="2365"/>
        <w:gridCol w:w="5720"/>
      </w:tblGrid>
      <w:tr>
        <w:trPr>
          <w:cantSplit/>
          <w:tblHeader/>
        </w:trPr>
        <w:tc>
          <w:tcPr>
            <w:tcW w:type="dxa" w:w="12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Unidade</w:t>
            </w:r>
          </w:p>
        </w:tc>
        <w:tc>
          <w:tcPr>
            <w:tcW w:type="dxa" w:w="23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Dedicação</w:t>
            </w:r>
          </w:p>
        </w:tc>
        <w:tc>
          <w:tcPr>
            <w:tcW w:type="dxa" w:w="572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Presença</w:t>
            </w:r>
          </w:p>
        </w:tc>
      </w:tr>
      <w:tr>
        <w:trPr>
          <w:cantSplit/>
        </w:trPr>
        <w:tc>
          <w:tcPr>
            <w:tcW w:type="dxa" w:w="12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Parque Global</w:t>
            </w:r>
          </w:p>
        </w:tc>
        <w:tc>
          <w:tcPr>
            <w:tcW w:type="dxa" w:w="23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46 h/mês</w:t>
            </w:r>
          </w:p>
        </w:tc>
        <w:tc>
          <w:tcPr>
            <w:tcW w:type="dxa" w:w="57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Visitas semanais de 6 h da titular, visita técnica mensal e todas as assembleias</w:t>
            </w:r>
          </w:p>
        </w:tc>
      </w:tr>
      <w:tr>
        <w:trPr>
          <w:cantSplit/>
        </w:trPr>
        <w:tc>
          <w:tcPr>
            <w:tcW w:type="dxa" w:w="12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Pinheiros</w:t>
            </w:r>
          </w:p>
        </w:tc>
        <w:tc>
          <w:tcPr>
            <w:tcW w:type="dxa" w:w="23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48 h/mês até jun/2027; 28 h/mês depois</w:t>
            </w:r>
          </w:p>
        </w:tc>
        <w:tc>
          <w:tcPr>
            <w:tcW w:type="dxa" w:w="572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Semanal na implantação, quinzenal depois; 2 visitas técnicas/mês na implantação</w:t>
            </w:r>
          </w:p>
        </w:tc>
      </w:tr>
      <w:tr>
        <w:trPr>
          <w:cantSplit/>
        </w:trPr>
        <w:tc>
          <w:tcPr>
            <w:tcW w:type="dxa" w:w="12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Artur de Azevedo</w:t>
            </w:r>
          </w:p>
        </w:tc>
        <w:tc>
          <w:tcPr>
            <w:tcW w:type="dxa" w:w="23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~14 h/mês</w:t>
            </w:r>
          </w:p>
        </w:tc>
        <w:tc>
          <w:tcPr>
            <w:tcW w:type="dxa" w:w="572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Visita mensal, visita técnica trimestral e todas as assembleias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SLAs alinhados à referência do Einstein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Os prazos abaixo substituem os da proposta técnica de 01/10/2026 onde forem mais exigentes: a primeira resposta da demanda ordinária passa a ser de 1 dia útil, e a demanda crítica passa a contar com plano de ação em até 4 horas.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2678"/>
        <w:gridCol w:w="5197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Criticidade</w:t>
            </w:r>
          </w:p>
        </w:tc>
        <w:tc>
          <w:tcPr>
            <w:tcW w:type="dxa" w:w="267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Referência Einstein</w:t>
            </w:r>
          </w:p>
        </w:tc>
        <w:tc>
          <w:tcPr>
            <w:tcW w:type="dxa" w:w="51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Compromisso DF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Crítica</w:t>
            </w:r>
          </w:p>
        </w:tc>
        <w:tc>
          <w:tcPr>
            <w:tcW w:type="dxa" w:w="267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h · 4 h ou plano de ação imediato</w:t>
            </w:r>
          </w:p>
        </w:tc>
        <w:tc>
          <w:tcPr>
            <w:tcW w:type="dxa" w:w="51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30 min, por telefone, 24x7 · plano de ação em até 4 h · presença em até 6 h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Urgente</w:t>
            </w:r>
          </w:p>
        </w:tc>
        <w:tc>
          <w:tcPr>
            <w:tcW w:type="dxa" w:w="267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h · 1 dia útil</w:t>
            </w:r>
          </w:p>
        </w:tc>
        <w:tc>
          <w:tcPr>
            <w:tcW w:type="dxa" w:w="51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h úteis, por telefone · 1 dia útil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Ordinária</w:t>
            </w:r>
          </w:p>
        </w:tc>
        <w:tc>
          <w:tcPr>
            <w:tcW w:type="dxa" w:w="267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· 5 dias úteis</w:t>
            </w:r>
          </w:p>
        </w:tc>
        <w:tc>
          <w:tcPr>
            <w:tcW w:type="dxa" w:w="51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· 5 dias úteis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Complexa</w:t>
            </w:r>
          </w:p>
        </w:tc>
        <w:tc>
          <w:tcPr>
            <w:tcW w:type="dxa" w:w="267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dias úteis · prazo acordado</w:t>
            </w:r>
          </w:p>
        </w:tc>
        <w:tc>
          <w:tcPr>
            <w:tcW w:type="dxa" w:w="51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útil, com prazo proposto · até 10 dias úteis, com prévia em 5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Pareceres para assembleia: até 3 dias úteis após o edital e, no mínimo, 5 dias úteis antes da assembleia, para que o Einstein cumpra suas alçadas internas.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Governança e autorização de votos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685"/>
        <w:gridCol w:w="5407"/>
        <w:gridCol w:w="2258"/>
      </w:tblGrid>
      <w:tr>
        <w:trPr>
          <w:cantSplit/>
          <w:tblHeader/>
        </w:trPr>
        <w:tc>
          <w:tcPr>
            <w:tcW w:type="dxa" w:w="16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540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 que acontece</w:t>
            </w:r>
          </w:p>
        </w:tc>
        <w:tc>
          <w:tcPr>
            <w:tcW w:type="dxa" w:w="225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Prazo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1. Classificação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Pauta classificada em rotina ou estratégica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 dia útil após o edital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2. Análise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Nota (rotina) ou parecer completo (estratégica), com recomendação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dias úteis após o edital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3. Alinhamento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Reunião ou call com os representantes do Einstein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antes da autorização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4. Autorização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Orientação de voto por escrito, conforme alçadas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antes da assembleia</w:t>
            </w:r>
          </w:p>
        </w:tc>
      </w:tr>
      <w:tr>
        <w:trPr>
          <w:cantSplit/>
        </w:trPr>
        <w:tc>
          <w:tcPr>
            <w:tcW w:type="dxa" w:w="16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5. Assembleia</w:t>
            </w:r>
          </w:p>
        </w:tc>
        <w:tc>
          <w:tcPr>
            <w:tcW w:type="dxa" w:w="540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Voto exatamente conforme autorizado</w:t>
            </w:r>
          </w:p>
        </w:tc>
        <w:tc>
          <w:tcPr>
            <w:tcW w:type="dxa" w:w="225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na assembleia</w:t>
            </w:r>
          </w:p>
        </w:tc>
      </w:tr>
      <w:tr>
        <w:trPr>
          <w:cantSplit/>
        </w:trPr>
        <w:tc>
          <w:tcPr>
            <w:tcW w:type="dxa" w:w="16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6. Registro</w:t>
            </w:r>
          </w:p>
        </w:tc>
        <w:tc>
          <w:tcPr>
            <w:tcW w:type="dxa" w:w="540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Deliberações e recomendações registradas</w:t>
            </w:r>
          </w:p>
        </w:tc>
        <w:tc>
          <w:tcPr>
            <w:tcW w:type="dxa" w:w="225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até 5 dias úteis após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Imprevistos em assembleia — tema fora de pauta ou proposta diferente da analisada: a DF não vota em nome do Einstein; abstém-se, pede ressalva em ata ou adiamento e comunica o Einstein no mesmo dia.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Metodologia de rateio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Diagnóstico (até D+60):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convenção, especificação, frações, contratos, orçamento e 12 balancetes; entrevistas e visita técnica; matriz de critério por conta com fundamento na convenção; relatório situação atual × situação correta.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Rotina mensal: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revisão do balancete contra orçamento e contratos; conferência das pastas por amostragem; parecer sempre que uma conta variar ±5% do previsto.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Orçamento e eventos: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revisão da matriz na Previsão Orçamentária, simulação do rateio por setor, revisão em novo contrato, obra ou mudança de ocupação, e proposta formal de correção em assembleia.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Entregáveis e mobilização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848"/>
        <w:gridCol w:w="3805"/>
        <w:gridCol w:w="1697"/>
      </w:tblGrid>
      <w:tr>
        <w:trPr>
          <w:cantSplit/>
          <w:tblHeader/>
        </w:trPr>
        <w:tc>
          <w:tcPr>
            <w:tcW w:type="dxa" w:w="3848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Entregável</w:t>
            </w:r>
          </w:p>
        </w:tc>
        <w:tc>
          <w:tcPr>
            <w:tcW w:type="dxa" w:w="380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Periodicidade</w:t>
            </w:r>
          </w:p>
        </w:tc>
        <w:tc>
          <w:tcPr>
            <w:tcW w:type="dxa" w:w="169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Primeira entrega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Relatório executivo mensal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Mensal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D+30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Dashboard orçamentário e de rateio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Relatório gráfico mensal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D+90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Pareceres técnicos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Sob demanda, nos prazos do item 5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Conforme demanda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Matriz de riscos e plano de mitigação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Trimestral ou por risco novo relevante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D+60</w:t>
            </w:r>
          </w:p>
        </w:tc>
      </w:tr>
      <w:tr>
        <w:trPr>
          <w:cantSplit/>
        </w:trPr>
        <w:tc>
          <w:tcPr>
            <w:tcW w:type="dxa" w:w="3848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Registro de deliberações de assembleia</w:t>
            </w:r>
          </w:p>
        </w:tc>
        <w:tc>
          <w:tcPr>
            <w:tcW w:type="dxa" w:w="380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Até 5 dias úteis após cada assembleia</w:t>
            </w:r>
          </w:p>
        </w:tc>
        <w:tc>
          <w:tcPr>
            <w:tcW w:type="dxa" w:w="169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Primeira assembleia</w:t>
            </w:r>
          </w:p>
        </w:tc>
      </w:tr>
      <w:tr>
        <w:trPr>
          <w:cantSplit/>
        </w:trPr>
        <w:tc>
          <w:tcPr>
            <w:tcW w:type="dxa" w:w="3848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Plano de ação</w:t>
            </w:r>
          </w:p>
        </w:tc>
        <w:tc>
          <w:tcPr>
            <w:tcW w:type="dxa" w:w="380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Acompanhamento mensal</w:t>
            </w:r>
          </w:p>
        </w:tc>
        <w:tc>
          <w:tcPr>
            <w:tcW w:type="dxa" w:w="169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D+60</w:t>
            </w:r>
          </w:p>
        </w:tc>
      </w:tr>
    </w:tbl>
    <w:p>
      <w:pPr>
        <w:spacing w:after="120"/>
      </w:pPr>
    </w:p>
    <w:p>
      <w:pPr>
        <w:spacing w:after="150" w:line="300"/>
        <w:jc w:val="both"/>
      </w:pPr>
      <w:r>
        <w:rPr>
          <w:rFonts w:ascii="Calibri" w:cs="Calibri" w:eastAsia="Calibri" w:hAnsi="Calibri"/>
          <w:color w:val="1F2A37"/>
          <w:sz w:val="21"/>
          <w:szCs w:val="21"/>
        </w:rPr>
        <w:t xml:space="preserve">Mobilização: kick-off na semana 1, apresentação aos interlocutores e pedido de documentos nas semanas 1 e 2, imersão nas semanas 2 a 4, diagnóstico até D+60 e operação plena a partir de D+90. A Previsão Orçamentária 2027, se ainda não aprovada, será revisada com prioridade.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9. Experiência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SPHQ I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condomínio geral + três subcondomínios; DF síndica desde 2014): rateio único por fração ideal substituído por um Coeficiente de Rateio de Despesas aprovado em assembleia — cada subcondomínio passou a pagar só o que é seu.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17007 Nações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duas torres + garagem + mall; DF síndica desde 2025): subcondomínio garagem pagava acima das despesas reais; rateio corrigido e diferença redistribuída entre as torres ocupantes.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O Parque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(São Paulo, complexo multiuso com torre do Hospital Sírio-Libanês; DF síndica desde 2026): implantação de condomínio multiuso com operação hospitalar e sistemas críticos.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10. Escopo e premissas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Incluído na mensalidade: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equipe titular, substitutos e retaguarda; visitas; deslocamento, estacionamento e alimentação na Grande São Paulo; assembleias ordinárias e extraordinárias; plantão 24x7; todos os entregáveis; pareceres da equipe DF; seguro de RC profissional e geral; tributos.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Somente com autorização prévia do Einstein, orçados à parte: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laudos e perícias de terceiros; escritórios externos e processos judiciais; auditoria independente; custas cartoriais; viagens fora da Grande São Paulo.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Papel da administradora, não da DF: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operação diária, equipes, contas a pagar e receber, elaboração de balancetes e prestação de contas, compras e arquivo físico — processos que a DF analisa, valida e fiscaliza.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11. Próximos passos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 DF permanece à disposição para a fase de equalização e para qualquer esclarecimento adicional.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Kick-off em até 5 dias úteis após a contratação.</w:t>
      </w:r>
    </w:p>
    <w:p>
      <w:pPr>
        <w:keepNext/>
        <w:spacing w:before="480" w:after="0"/>
      </w:pPr>
    </w:p>
    <w:p>
      <w:pPr>
        <w:keepNext/>
        <w:spacing w:after="40"/>
      </w:pPr>
      <w:r>
        <w:rPr>
          <w:rFonts w:ascii="Calibri" w:cs="Calibri" w:eastAsia="Calibri" w:hAnsi="Calibri"/>
          <w:color w:val="5B6470"/>
          <w:sz w:val="21"/>
          <w:szCs w:val="21"/>
        </w:rPr>
        <w:t xml:space="preserve">__________________________________________</w:t>
      </w: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2F4162"/>
          <w:sz w:val="21"/>
          <w:szCs w:val="21"/>
        </w:rPr>
        <w:t xml:space="preserve">Denise Ferreira</w:t>
      </w:r>
    </w:p>
    <w:p>
      <w:pPr>
        <w:spacing w:after="0"/>
      </w:pPr>
      <w:r>
        <w:rPr>
          <w:rFonts w:ascii="Calibri" w:cs="Calibri" w:eastAsia="Calibri" w:hAnsi="Calibri"/>
          <w:color w:val="5B6470"/>
          <w:sz w:val="19"/>
          <w:szCs w:val="19"/>
        </w:rPr>
        <w:t xml:space="preserve">Sócia-diretora — DF Síndicos Profissionais Ltda.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Relatório Executivo — Einstein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