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PACOTE DE REVISÃO TÉCNICA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PLANO DE CONTINGÊNCIA DA ÁGUA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20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DE SEGURANÇA E SAÚDE A VALIDAR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20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VALORES A FIXAR NA FICHA DE CADA CONDOMÍNIO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DECISÕES DE POLÍTICA DO SÍNDICO E DA ADMINISTRAÇÃO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Pacote de revisão técnica do plano de contingência da água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Para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Responsável técnico (engenheiro ou consultor especialista) e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Como responder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A (aprovo) · J (ajusto) · N (não se aplica) · ? (preciso de mais informação)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nada neste material é oficial antes da revisão. A decisão de adotar é do síndico.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 do pacote: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 </w:t>
      </w:r>
      <w:r>
        <w:rPr>
          <w:rFonts w:ascii="Arial" w:hAnsi="Arial" w:cs="Arial" w:eastAsia="Arial"/>
          <w:b/>
          <w:i w:val="0"/>
          <w:color w:val="1F2A37"/>
          <w:sz w:val="20"/>
        </w:rPr>
        <w:t>Para: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responsável técnico (engenheiro ou consultor especialista) e síndico </w:t>
      </w:r>
      <w:r>
        <w:rPr>
          <w:rFonts w:ascii="Arial" w:hAnsi="Arial" w:cs="Arial" w:eastAsia="Arial"/>
          <w:b/>
          <w:i w:val="0"/>
          <w:color w:val="1F2A37"/>
          <w:sz w:val="20"/>
        </w:rPr>
        <w:t>Material sob revisão: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catálogo v2, cenários 1 a 9 e o </w:t>
      </w:r>
      <w:r>
        <w:rPr>
          <w:rFonts w:ascii="Arial" w:hAnsi="Arial" w:cs="Arial" w:eastAsia="Arial"/>
          <w:b/>
          <w:i w:val="0"/>
          <w:color w:val="1F2A37"/>
          <w:sz w:val="20"/>
        </w:rPr>
        <w:t>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(comunicação de crise), checklists e planilha-mestre, todos em </w:t>
      </w:r>
      <w:r>
        <w:rPr>
          <w:rFonts w:ascii="Arial" w:hAnsi="Arial" w:cs="Arial" w:eastAsia="Arial"/>
          <w:b/>
          <w:i w:val="0"/>
          <w:color w:val="1F2A37"/>
          <w:sz w:val="20"/>
        </w:rPr>
        <w:t>rascunho v0.1</w:t>
      </w:r>
    </w:p>
    <w:tbl>
      <w:tblPr>
        <w:tblW w:type="dxa" w:w="15078"/>
        <w:tblLayout w:type="fixed"/>
        <w:tblLook w:firstColumn="1" w:firstRow="1" w:lastColumn="0" w:lastRow="0" w:noHBand="0" w:noVBand="1" w:val="04A0"/>
      </w:tblPr>
      <w:tblGrid>
        <w:gridCol w:w="15078"/>
      </w:tblGrid>
      <w:tr>
        <w:tc>
          <w:tcPr>
            <w:tcW w:type="dxa" w:w="15078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 que se pede.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Que o responsável técnico responda, item por item, se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aprova, ajusta ou não se aplica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. Nada neste material é oficial antes dessa revisão. O kit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orienta e organiza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responsável técnico, laudo nem projeto. A decisão de adotar é do síndico.</w:t>
            </w:r>
          </w:p>
          <w:p>
            <w:pPr>
              <w:spacing w:after="60" w:before="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Por que existe.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procedimentos foram escritos de propósito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sem nenhum valor numérico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(cloro, temperatura, tempo, concentração, periodicidade legal). Todo valor ficou como "definir na ficha / validar com responsável técnico". Este pacote junta, num lugar só e por prioridade,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tudo o que depende de validação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Como responder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Para cada item, marque na coluna </w:t>
      </w:r>
      <w:r>
        <w:rPr>
          <w:rFonts w:ascii="Arial" w:hAnsi="Arial" w:cs="Arial" w:eastAsia="Arial"/>
          <w:b/>
          <w:i w:val="0"/>
          <w:color w:val="1F2A37"/>
          <w:sz w:val="20"/>
        </w:rPr>
        <w:t>Resposta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aprovo como está · </w:t>
      </w:r>
      <w:r>
        <w:rPr>
          <w:rFonts w:ascii="Arial" w:hAnsi="Arial" w:cs="Arial" w:eastAsia="Arial"/>
          <w:b/>
          <w:i w:val="0"/>
          <w:color w:val="1F2A37"/>
          <w:sz w:val="20"/>
        </w:rPr>
        <w:t>J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ajusto (escreva como, na coluna Obs.) · </w:t>
      </w:r>
      <w:r>
        <w:rPr>
          <w:rFonts w:ascii="Arial" w:hAnsi="Arial" w:cs="Arial" w:eastAsia="Arial"/>
          <w:b/>
          <w:i w:val="0"/>
          <w:color w:val="1F2A37"/>
          <w:sz w:val="20"/>
        </w:rPr>
        <w:t>N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não se aplica a este prédio · </w:t>
      </w:r>
      <w:r>
        <w:rPr>
          <w:rFonts w:ascii="Arial" w:hAnsi="Arial" w:cs="Arial" w:eastAsia="Arial"/>
          <w:b/>
          <w:i w:val="0"/>
          <w:color w:val="1F2A37"/>
          <w:sz w:val="20"/>
        </w:rPr>
        <w:t>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preciso de mais informação. Pode responder neste arquivo (Word) ou por voz ao usuário, citando o código do item (por exemplo "R-04: J, tempo de contato é X").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Ordem de leitura sugerida (1 hora):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(1) este pacote, partes 1 e 2; (2) os </w:t>
      </w:r>
      <w:r>
        <w:rPr>
          <w:rFonts w:ascii="Arial" w:hAnsi="Arial" w:cs="Arial" w:eastAsia="Arial"/>
          <w:b/>
          <w:i w:val="0"/>
          <w:color w:val="1F2A37"/>
          <w:sz w:val="20"/>
        </w:rPr>
        <w:t>fluxogramas A3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dez cenários (1 página cada); (3) o </w:t>
      </w:r>
      <w:r>
        <w:rPr>
          <w:rFonts w:ascii="Arial" w:hAnsi="Arial" w:cs="Arial" w:eastAsia="Arial"/>
          <w:b/>
          <w:i w:val="0"/>
          <w:color w:val="1F2A37"/>
          <w:sz w:val="20"/>
        </w:rPr>
        <w:t>procedimento do 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de autovistoria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(4) o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interconexões críticas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catálogo; (5) o restante, conforme os itens abaixo apontarem.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1 — O que foi construído, em uma página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920"/>
        <w:gridCol w:w="9898"/>
        <w:gridCol w:w="3259"/>
      </w:tblGrid>
      <w:tr>
        <w:trPr>
          <w:tblHeader/>
        </w:trPr>
        <w:tc>
          <w:tcPr>
            <w:tcW w:type="dxa" w:w="19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Camada</w:t>
            </w:r>
          </w:p>
        </w:tc>
        <w:tc>
          <w:tcPr>
            <w:tcW w:type="dxa" w:w="98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</w:t>
            </w:r>
          </w:p>
        </w:tc>
        <w:tc>
          <w:tcPr>
            <w:tcW w:type="dxa" w:w="325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Onde</w:t>
            </w:r>
          </w:p>
        </w:tc>
      </w:tr>
      <w:tr>
        <w:trPr>
          <w:cantSplit/>
        </w:trPr>
        <w:tc>
          <w:tcPr>
            <w:tcW w:type="dxa" w:w="1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Catálogo</w:t>
            </w:r>
          </w:p>
        </w:tc>
        <w:tc>
          <w:tcPr>
            <w:tcW w:type="dxa" w:w="98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195 sistemas de água que podem existir em prédio comercial ou logístico, com mecanismo de falha, cenários em que entra, 16 famílias de manutenção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18 interligações críticas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(o que não pode se tocar e o que o dispositivo de proteção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garante)</w:t>
            </w:r>
          </w:p>
        </w:tc>
        <w:tc>
          <w:tcPr>
            <w:tcW w:type="dxa" w:w="3259"/>
          </w:tcPr>
          <w:p>
            <w:pPr>
              <w:spacing w:after="40" w:before="40" w:line="220" w:lineRule="exact"/>
            </w:pPr>
            <w:r>
              <w:rPr>
                <w:rFonts w:ascii="Consolas" w:hAnsi="Consolas" w:cs="Consolas" w:eastAsia="Consolas"/>
                <w:b w:val="0"/>
                <w:i w:val="0"/>
                <w:color w:val="1F2A37"/>
                <w:sz w:val="15"/>
              </w:rPr>
              <w:t>catalogo/catalogo-v2.md</w:t>
            </w:r>
          </w:p>
        </w:tc>
      </w:tr>
      <w:tr>
        <w:trPr>
          <w:cantSplit/>
        </w:trPr>
        <w:tc>
          <w:tcPr>
            <w:tcW w:type="dxa" w:w="1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Cenários</w:t>
            </w:r>
          </w:p>
        </w:tc>
        <w:tc>
          <w:tcPr>
            <w:tcW w:type="dxa" w:w="98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Procedimento por fases e ramos condicionais, mais fluxograma de 1 página: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comunicação de crise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contaminação cruzada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2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falta de água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água fora do padrão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vazamento e alagamento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5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falha de bomba ou energia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6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incêndio com reserva indisponível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7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refluxo de esgoto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8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falha do tratamento químico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contaminação do reservatório</w:t>
            </w:r>
          </w:p>
        </w:tc>
        <w:tc>
          <w:tcPr>
            <w:tcW w:type="dxa" w:w="325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Consolas" w:hAnsi="Consolas" w:cs="Consolas" w:eastAsia="Consolas"/>
                <w:b w:val="0"/>
                <w:i w:val="0"/>
                <w:color w:val="1F2A37"/>
                <w:sz w:val="15"/>
              </w:rPr>
              <w:t>cenarios/</w:t>
            </w:r>
          </w:p>
        </w:tc>
      </w:tr>
      <w:tr>
        <w:trPr>
          <w:cantSplit/>
        </w:trPr>
        <w:tc>
          <w:tcPr>
            <w:tcW w:type="dxa" w:w="1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Checklists</w:t>
            </w:r>
          </w:p>
        </w:tc>
        <w:tc>
          <w:tcPr>
            <w:tcW w:type="dxa" w:w="98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Autovistoria dos 5 tipos de ponto de contaminação cruzada (42 itens); relatório mensal padrão dos fornecedores; ronda com torneira sentinela</w:t>
            </w:r>
          </w:p>
        </w:tc>
        <w:tc>
          <w:tcPr>
            <w:tcW w:type="dxa" w:w="3259"/>
          </w:tcPr>
          <w:p>
            <w:pPr>
              <w:spacing w:after="40" w:before="40" w:line="220" w:lineRule="exact"/>
            </w:pPr>
            <w:r>
              <w:rPr>
                <w:rFonts w:ascii="Consolas" w:hAnsi="Consolas" w:cs="Consolas" w:eastAsia="Consolas"/>
                <w:b w:val="0"/>
                <w:i w:val="0"/>
                <w:color w:val="1F2A37"/>
                <w:sz w:val="15"/>
              </w:rPr>
              <w:t>cenarios/01-.../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F2A37"/>
                <w:sz w:val="15"/>
              </w:rPr>
              <w:t>rotinas/</w:t>
            </w:r>
          </w:p>
        </w:tc>
      </w:tr>
      <w:tr>
        <w:trPr>
          <w:cantSplit/>
        </w:trPr>
        <w:tc>
          <w:tcPr>
            <w:tcW w:type="dxa" w:w="1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Planilha-mestre</w:t>
            </w:r>
          </w:p>
        </w:tc>
        <w:tc>
          <w:tcPr>
            <w:tcW w:type="dxa" w:w="98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Ficha por condomínio (em branco): catálogo S/N/?, matriz item × cenário, manutenção por família, autovistoria, contatos, incidentes e resumo</w:t>
            </w:r>
          </w:p>
        </w:tc>
        <w:tc>
          <w:tcPr>
            <w:tcW w:type="dxa" w:w="325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Consolas" w:hAnsi="Consolas" w:cs="Consolas" w:eastAsia="Consolas"/>
                <w:b w:val="0"/>
                <w:i w:val="0"/>
                <w:color w:val="1F2A37"/>
                <w:sz w:val="15"/>
              </w:rPr>
              <w:t>planilha-mestre/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Princípios que atravessam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(convém o revisor confirmar que concorda):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Saúde primeiro: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suspender o consumo antes de investigar.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antes de limpeza: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coletar antes de descarregar.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 ficha não confirma é tratado como inexistente.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Nenhum caminho de água contínuo entre o potável e qualquer circuito.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reposição manual segura é por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 com folga de ar +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nunca mangueira ligada à torneira.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ronda contém, avisa e aciona.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improvisa química, quadro elétrico nem entrada em reservatório.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Liberar só com: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causa eliminada, trecho limpo e desinfetado, análise conforme, parecer técnico e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Origem dos procedimentos: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dois episódios reais (reúso × potável por erro de obra; água gelada do chiller na prumada por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após reposição manual com mangueira deixada conectada).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2 — Prioridade 1: segurança e saúde (validar antes de qualquer uso operacional)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Estes itens podem </w:t>
      </w:r>
      <w:r>
        <w:rPr>
          <w:rFonts w:ascii="Arial" w:hAnsi="Arial" w:cs="Arial" w:eastAsia="Arial"/>
          <w:b/>
          <w:i w:val="0"/>
          <w:color w:val="1F2A37"/>
          <w:sz w:val="20"/>
        </w:rPr>
        <w:t>machucar ou contaminar alguém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estiverem errados. Revisar primeiro.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98"/>
        <w:gridCol w:w="5757"/>
        <w:gridCol w:w="3670"/>
        <w:gridCol w:w="2900"/>
        <w:gridCol w:w="1153"/>
        <w:gridCol w:w="798"/>
      </w:tblGrid>
      <w:tr>
        <w:trPr>
          <w:tblHeader/>
        </w:trPr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Cód.</w:t>
            </w:r>
          </w:p>
        </w:tc>
        <w:tc>
          <w:tcPr>
            <w:tcW w:type="dxa" w:w="57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validar</w:t>
            </w:r>
          </w:p>
        </w:tc>
        <w:tc>
          <w:tcPr>
            <w:tcW w:type="dxa" w:w="367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Onde está</w:t>
            </w:r>
          </w:p>
        </w:tc>
        <w:tc>
          <w:tcPr>
            <w:tcW w:type="dxa" w:w="290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decide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Resposta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R-01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Reposição manual segura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circuito (água gelada, torre, caldeira): (1) potável enche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tanque com folga de 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leva ao circuito; (2) funil/tanque com folga de ar em circuito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aberto ou à pressão atmosférica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(3) se não houver estrutura,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repor com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. Qual é viável em cada tipo de circuito? Circuito pressurizado aceita funil?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ramo A; Cen. 2, seção 8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(hidráulica / ar-condicionado)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R-02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Comparar pressões antes de conectar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qualquer reposição: "se a do circuito for maior ou igual à do potável, não conectar nada". Como medir na prática (manômetros, pontos de leitura)? A regra é suficiente?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ramo A; Cen. 2, seção 8; Cen. 5, fase 5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R-03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 ligação aberta entre potável e circuito pressurizado que não dá para fechar na hora: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parar as bombas do circuito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reduz a pressão que empurra a água? É seguro recomendar?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fase 1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/ fornecedor de AC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R-04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Desinfecção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reservatório, rede e trechos afetados: produto, concentração, tempo de contato, enxágue, descarga;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 térmico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(quando e como); desinfecção da rede quando a água contaminada chegou às prumadas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 f.4; Cen. 3 ramos A, D; Cen. 9 seção 8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R-05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Destino do efluente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(água com produto químico, desinfecção, esvaziamento de reservatório, derrame, purga e drenagem de torre): esgoto, pluvial, solo? Exige autorização ou notificação (concessionária, órgão ambiental)?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 f.4; Cen. 8 seção 9; Cen. 9 seção 8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regra local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R-06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Legionella: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desligar ou interditar para reduzir aerossol (torre, fonte, nebulização, chuveiros);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critério de suspeita clínica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técnica e pontos de coleta; monitoramento posterior.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encontramos norma brasileira específica para água quente sanitária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(ASHRAE 188 e Guideline 12 são estrangeiras). Existe regra municipal ou estadual?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3 ramo D; Cen. 8 ramo A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vigilância sanitária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R-07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Parâmetros analíticos e critérios de liberação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água após incidente (potabilidade, produto químico a partir da FISPQ, microbiologia): quais parâmetros, quais pontos, qual valor libera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 f.3 e 5; Cen. 3; Cen. 8 seção 8; Cen. 9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laboratório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R-08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Segurança elétrica: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uma tentativa de rearme, por habilitado; partida manual do gerador e do QTA/ATS só com instrução escrita na ficha;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gerador portátil ou de aluguel só com chave de transferência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desenergizar quadro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a água chegar; gerador nunca em subsolo ou garagem fechada. Escopo da NR-10 no prédio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5 seções 2, 3, ramo B, 7.3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elétrico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R-09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Entrada e inspeção de reservatório e torre: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 ronda inspeciona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por fora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(não abre tampa, não se debruça, não entra); quem cai não é socorrido por quem entra (liga 193 e 192). Pontos seguros de coleta; se a ronda pode abrir a tampa sem entrar. NR-33 e NR-35: treinamento, vigia, resgate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9; Cen. 8; Cen. 5 seção 3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/ segurança do trabalho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R-10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Proteção de incêndio: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nada autoriza usar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RTI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 consumo;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que comunicar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ao Corpo de Bombeiros, à brigada e à seguradora quando uma bomba ou a reserva fica indisponível;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restringir trabalho a 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nessa condição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 seção 6; Cen. 5 ramo C; Cen. 9 ramo D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+ RT incêndio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R-11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Química e a ronda: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a ronda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fazer com dosadora, controlador, registros e kit de derrame; EPI por produto (FISPQ);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 misturar produtos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(exemplo do catálogo: hipoclorito com ácido libera cloro)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8 seção 3.1 e princípios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Fornecedor de tratamento + segurança do trabalho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R-12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Parada e retomada de torre e chiller: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sequência, purga, tratamento químico durante a parada,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Legionella no retorno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tempo de parada que exige limpeza ou amostra antes de religar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plano alternativo dos pontos críticos (data center, clínicas); chiller a água depende da torre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 seções 6 e 8; Cen. 8 seção 6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Fornecedor + RT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R-13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Proporcionalidade da suspensão do consumo: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quando suspender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o ponto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trecho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prédio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(tabela do Cenário 3, seção 5);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gravidade alta × média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reservatório e o prazo de T+1 h para suspender;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restaurantes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quando parar e voltar, descarte de gelo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3 seção 5; Cen. 9 seções 1 e 4; Cen. 2 seção 6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+ RT + vigilância sanitária local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R-14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Abastecimento alternativo: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critério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origem e de tanque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caminhão-pipa (documento aceito, certificação), cloro na chegada,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contraprova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ponto fixo de recebimento acima do nível com folga de ar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 seção 7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R-15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Isolar setor de incêndio para estancar alagamento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(sprinkler disparado, rede rompida): fechar a válvula do setor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tensiona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princípio de nunca fechar proteção sem o síndico. Vale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pré-autorização do nível 1 na ficha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só decisão do síndico? Quem decide se o síndico não é localizado? Tempo máximo sem proteção? Recolocação por tipo de rede (seca, pré-ação)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 ramo F; Cen. 6 ramo D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+ RT incêndio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R-16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Gases de esgoto e atmosfera em poço, caixa e subsolo: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 ronda tem detector? quem usa, como? EPI e proteção respiratória; conduta em contato com mucosa ou ferida. (A nota de que o gás pode ser tóxico e inflamável e que o cheiro deixa de ser percebido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fonte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precisa de confirmação)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7 seção 3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/ segurança do trabalho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R-17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Restringir uso de água e descarga a montante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quando a coluna está entupida,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quando cortar o abastecimento do trecho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vez de só avisar (critério de "pavimentos a montante"); tamponar ralos do subsolo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7 fase 1 e ramo B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nível 1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R-18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Desenergizar sem habilitado 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(isolar a área e esperar o fornecedor?)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verificar e religar quadro ou motor molhado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testes, quando recuperar, quando trocar. Lista de quadros no caminho da água por prédio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 seções 3 e 12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elétrico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R-19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Higienização de área atingida por esgoto ou água contaminada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(produto, diluição, tempo de contato)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descarte de materiais porosos e resíduo contaminado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(enquadramento, embalagem, comprovante)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4; Cen. 7 seção 9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R-20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Rede de incêndio: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reabrir válvula fechada (ficha, registro, segunda pessoa),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encher a rede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(golpe de aríete, purga, rede seca e pré-ação),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troca de sprinkler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o que a ronda pode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silenciar, habilitar e reabilitar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na central de alarme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6 seções 5, 6 e 11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incêndio / fornecedor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 xml:space="preserve">Parte 3 — Prioridade 2: valores que </w:t>
      </w:r>
      <w:r>
        <w:rPr>
          <w:rFonts w:ascii="Arial" w:hAnsi="Arial" w:cs="Arial" w:eastAsia="Arial"/>
          <w:b/>
          <w:i w:val="0"/>
          <w:color w:val="2F4162"/>
          <w:sz w:val="27"/>
        </w:rPr>
        <w:t>nenhum documento traz</w:t>
      </w:r>
      <w:r>
        <w:rPr>
          <w:rFonts w:ascii="Arial" w:hAnsi="Arial" w:cs="Arial" w:eastAsia="Arial"/>
          <w:b/>
          <w:i w:val="0"/>
          <w:color w:val="2F4162"/>
          <w:sz w:val="27"/>
        </w:rPr>
        <w:t xml:space="preserve"> e precisam ser fixados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Preencher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condomínio (ou no padrão do portfólio, quando fizer sentido).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98"/>
        <w:gridCol w:w="7384"/>
        <w:gridCol w:w="1596"/>
        <w:gridCol w:w="3980"/>
        <w:gridCol w:w="1318"/>
      </w:tblGrid>
      <w:tr>
        <w:trPr>
          <w:tblHeader/>
        </w:trPr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Cód.</w:t>
            </w:r>
          </w:p>
        </w:tc>
        <w:tc>
          <w:tcPr>
            <w:tcW w:type="dxa" w:w="738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Valor a definir</w:t>
            </w:r>
          </w:p>
        </w:tc>
        <w:tc>
          <w:tcPr>
            <w:tcW w:type="dxa" w:w="159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Aparece em</w:t>
            </w:r>
          </w:p>
        </w:tc>
        <w:tc>
          <w:tcPr>
            <w:tcW w:type="dxa" w:w="398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define</w:t>
            </w:r>
          </w:p>
        </w:tc>
        <w:tc>
          <w:tcPr>
            <w:tcW w:type="dxa" w:w="131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Valor / critério definido</w:t>
            </w: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V-01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Cloro residual mínimo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 liberar consumo e na chegada do caminhão-pipa; pontos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frequência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medição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2, 3, 9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(Portaria 888/2021, ◻ cláusulas e aplicabilidade a condomínio)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V-02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Temperaturas de referência da água 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(armazenamento, retorno, ponto de uso) e faixa de risco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3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V-03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Autonomia mínima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reservatório (horas) e níveis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alerta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crítico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duração da caixa d'água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recalque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(por prédio)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2, 5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manutenção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V-04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Autonomia de diesel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(gerador e bomba de incêndio), das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baterias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(centrais, no-break, iluminação de emergência)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como medi-la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5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elétrico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V-05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Faixas do tratamento químico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(dosagem, condutividade, pH, ORP, purga, biocida),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estoque mínimo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fornecedor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8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Fornecedor + RT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V-06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Tempos-alvo T+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das fases de cada cenário (hoje são sugestões marcadas ⚠)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Todos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síndico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V-07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Período do monitoramento reforçado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após incidente: os Cenários 1, 3, 4, 7 e 9 sugerem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30 dias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igual em todos (uniformizado em 02/10/2026); falta o responsável técnico definir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3, 9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V-08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Cadência de limpeza e desinfecção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reservatórios por tipo de ocupação 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regra local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(nenhum prazo legal está citado)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9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regra local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V-09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Frequência e método de testes: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gerador em carga, transferência, bomba reserva, alarme de nível, baterias;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qualidade do diesel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5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elétrico / fornecedor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V-10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Ordem e intervalo de partida de motores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(gerador e retorno da rede), por tipo de partida;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golpe de aríete e escorva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por tipo de bomba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5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elétrico / hidráulico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V-11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Descarga de pontos mortos e fim de rede: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tempo e critério; frequência de acionamento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chuveiros e lava-olhos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2, 3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V-12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Frequência da autovistoria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(sugestão: na implantação, após incidente e semestral) e da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torneira sentinela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(sugestão: a cada ronda; diária, com registro, por um período após incidente)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Autovistoria; Ronda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síndico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V-13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Ensaio de estanqueidade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reservatório e laje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9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V-14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Laboratório: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escopo da acreditação ISO/IEC 17025 (inclui Legionella?), conservação e prazo das amostras, temperatura de transporte,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contraprova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3, 8, 9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V-15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Telefones: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centro de informação toxicológica (nenhum número foi citado nos cenários, por não estar confirmado), concessionária, vigilância sanitária local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8; ficha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Administração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V-16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Secagem e mofo: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método, equipamento, prazo para retirar material molhado e critério para dar por seco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V-17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Válvula de retenção e comporta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rede de esgoto: instrução de manobra, teste e periodicidade;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limpeza de caixa de gordura e de inspeção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desentupimento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método e periodicidade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7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/ fornecedor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V-18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RTI: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volume e nível mínimo; critério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qualidade da água de reposição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(origem, tanque, cloro), estagnação e renovação; se se pode receber água pela siamesa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6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incêndio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V-19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Flexíveis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(vida útil, critério de troca, registro de bloqueio nos equipamentos dos locatários)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gatilho de ronda preventiva em chuva forte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(sem citar fonte de alerta)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/ manutenção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V-20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Vigilância reforçada de incêndio: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frequência da ronda (dupla à noite), intervalo de leitura do nível da RTI, período de vigilância reforçada após o retorno, escopo 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trabalho a 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quem autoriza o retorno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6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+ RT incêndio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4 — Prioridade 3: decisões de política (síndico e administração)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98"/>
        <w:gridCol w:w="7440"/>
        <w:gridCol w:w="5686"/>
        <w:gridCol w:w="1153"/>
      </w:tblGrid>
      <w:tr>
        <w:trPr>
          <w:tblHeader/>
        </w:trPr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Cód.</w:t>
            </w:r>
          </w:p>
        </w:tc>
        <w:tc>
          <w:tcPr>
            <w:tcW w:type="dxa" w:w="74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Decisão</w:t>
            </w:r>
          </w:p>
        </w:tc>
        <w:tc>
          <w:tcPr>
            <w:tcW w:type="dxa" w:w="568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 que importa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Resposta / decisão</w:t>
            </w: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Q-01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Lista de pessoas habilitadas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por prédio (eletricista, operador de gerador, quem manobra o quê)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Os cenários 5 e 8 só deixam manobrar quem é habilitado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Q-02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Escada de escalonamento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(níveis 1, 2 e 3): quem, em que horário, com que telefone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Todo procedimento começa aqui; vai na ficha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Q-03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Notificações externas: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quando comunicar vigilância sanitária, concessionária, Bombeiros, seguradora, órgão ambiental (regra local + jurídico)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Hoje todos os cenários dizem "decisão do síndico ⚠"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Q-04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ao proprietário e aos locatários: modelos dos cenários servem? Quem assina?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Há modelos de aviso nos cenários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Q-05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Pedido aos fornecedores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(via administradora): aceitar o checklist padrão no relatório mensal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tentar a cadência semanal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nos 5 itens críticos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pedido, não exigência; sem isso a ficha não atualiza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Q-06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Contratos de emergência: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caminhão-pipa pré-qualificado, aluguel de gerador e de bomba, estoque de produto químico, fornecedor 24h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Cenários 2, 5 e 8 dependem disso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Q-07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Critério para interditar andares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suspender restaurantes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 e 3 deixam em aberto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Q-08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Quem executa e quem assina a autovistoria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(manutenção, administração, síndico) e o que acontece com um item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vermelho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checklist manda "escalar ao síndico"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Q-09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Quem valida cada documento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(nome e registro profissional do RT)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quando revisar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(após incidente, anualmente)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Sem isso o kit continua rascunho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Q-10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Condomínio piloto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qual, e quem junta o mapeamento (as-built, diagrama do ar-condicionado com o ponto de reposição, esquema da água fria e do reúso)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piloto testa os ramos do cenário 1 contra um prédio real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Q-11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Galpão logístico com ESFR: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quando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reduzir a carga de incêndio ou restringir a operação do setor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proteção indisponível; papel do locatário e do contrato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Decisão que só o síndico (com o RT) pode tomar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Q-12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Abono e indenização a locatários afetados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(alagamento, esgoto, água suspensa)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responsabilidade pela caixa de gordura do locatário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(contrato)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Os Cenários 4 e 7 deixam em aberto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Q-13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prazo e procedimento de comunicação conforme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apólice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cada condomínio; o que fotografar e guardar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Os procedimentos mandam ler a apólice e não citam prazo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Q-14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Vazamento antes do hidrômetro ou do cavalete: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responsabilidade da concessionária e contato de emergência na ficha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Q-15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Comunicação de crise (Cenário T):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classificação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G1, G2, G3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quem pode reclassificar;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prazos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primeiro aviso (G3 em até 15 min, G2 em até 1 h são sugestões), de atualização e de relatório ao proprietário;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quem é o porta-voz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o substituto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Sem isso os avisos ficam sem dono nem prazo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Q-16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Dados pessoais de saúde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quem passou mal (LGPD),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política com imprensa e redes sociais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aprovação jurídica dos modelos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9.1 a 9.11 do Cenário T, inclusive as respostas curtas ("posso lavar as mãos?") que dependem do responsável técnico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Risco legal e de saúde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5 — Referências a confirmar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Conferidas só em existência e escopo geral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(nenhuma cláusula foi lida; ler o texto antes de virar exigência): </w:t>
      </w:r>
      <w:r>
        <w:rPr>
          <w:rFonts w:ascii="Arial" w:hAnsi="Arial" w:cs="Arial" w:eastAsia="Arial"/>
          <w:b/>
          <w:i w:val="0"/>
          <w:color w:val="1F2A37"/>
          <w:sz w:val="20"/>
        </w:rPr>
        <w:t>NBR 5626:2020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(sistemas prediais de água fria e quente; cláusulas de proteção contra refluxo, separação atmosférica e reservatório) · </w:t>
      </w:r>
      <w:r>
        <w:rPr>
          <w:rFonts w:ascii="Arial" w:hAnsi="Arial" w:cs="Arial" w:eastAsia="Arial"/>
          <w:b/>
          <w:i w:val="0"/>
          <w:color w:val="1F2A37"/>
          <w:sz w:val="20"/>
        </w:rPr>
        <w:t>NBR 16783:2019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(fontes alternativas de água não potável; identificação visual do reúso) · </w:t>
      </w:r>
      <w:r>
        <w:rPr>
          <w:rFonts w:ascii="Arial" w:hAnsi="Arial" w:cs="Arial" w:eastAsia="Arial"/>
          <w:b/>
          <w:i w:val="0"/>
          <w:color w:val="1F2A37"/>
          <w:sz w:val="20"/>
        </w:rPr>
        <w:t>Portaria GM/MS nº 888/2021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(potabilidade; cloro residual e carro-pipa).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Em dúvida de vigência ou edição (◻):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672"/>
        <w:gridCol w:w="9405"/>
      </w:tblGrid>
      <w:tr>
        <w:trPr>
          <w:tblHeader/>
        </w:trPr>
        <w:tc>
          <w:tcPr>
            <w:tcW w:type="dxa" w:w="567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Referência</w:t>
            </w:r>
          </w:p>
        </w:tc>
        <w:tc>
          <w:tcPr>
            <w:tcW w:type="dxa" w:w="940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Dúvida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Resolução Anvisa RE 9/2003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17037:2023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Fontes secundárias dizem que a RE 9/2003 foi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revogada em julho de 2024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(RDC 886/2024) e que a NBR 17037:2023 passou a ser a referência do PMOC.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ato revogador não foi confirmado.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 Lei 13.589/2018 ainda manda seguir a RE 9/2003. Afeta torre e PMOC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Lei 13.589/2018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Portaria 3.523/1998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Vigência e exigência de PMOC por faixa de capacidade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13714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8160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10844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5674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16401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Qual edição vale (por exemplo NBR 8160: 1999 ou 2020)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10897:2020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Sprinklers; aplicação por tipo de risco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17505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Armazenamento de inflamáveis, se o produto químico ou o diesel se enquadrar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NR-10, NR-13, NR-33, NR-35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Versão vigente, escopo no prédio, exigência de vigia e resgate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ISO/IEC 17025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Escopo da acreditação do laboratório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RDC Anvisa 216/2004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Aplicabilidade e periodicidade de limpeza de reservatório em restaurantes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CONAMA 430/2011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Aplicação ao lançamento em rede pública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Instrução Técnica do Corpo de Bombeiros do estado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Só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IT 22/2025 de São Paulo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foi conferida; cada estado tem a sua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Legionella em água quente sanitária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norma brasileira específica encontrada.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ASHRAE 188 e Guideline 12 são referências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estrangeiras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(não são norma brasileira)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Portaria 888/2021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cloro mínimo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(0,2 mg/L livre; 0,5 mg/L no carro-pipa) veio de fonte secundária,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se sabe se a Portaria obriga o condomínio abastecido pela concessionária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só serve de referência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6 — Pendências conhecidas do próprio material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Os cenários 4, 6, 7 e T foram escritos depois dos outros e ainda não foram conferidos contra os cenários 1 a 3, 5, 8 e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quanto a divergências de linguagem ou de limites. A conferência de </w:t>
      </w:r>
      <w:r>
        <w:rPr>
          <w:rFonts w:ascii="Arial" w:hAnsi="Arial" w:cs="Arial" w:eastAsia="Arial"/>
          <w:b/>
          <w:i w:val="0"/>
          <w:color w:val="1F2A37"/>
          <w:sz w:val="20"/>
        </w:rPr>
        <w:t>conteúdo técnico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cenários 4, 6, 7 e T continua pendente.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Consistência entre cenários (conferida em 02/10/2026):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remissões entre cenários e ramos existem; o monitoramento reforçado sugere 30 dias em todos (V-07); nenhum cenário cita número de telefone de centro toxicológico (V-15); cada cenário aponta para o Cenário T na Fase 2 e na seção de modelos de comunicação.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Cores dos traçadores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(rosa = água gelada; azul = reúso) aparecem como </w:t>
      </w:r>
      <w:r>
        <w:rPr>
          <w:rFonts w:ascii="Arial" w:hAnsi="Arial" w:cs="Arial" w:eastAsia="Arial"/>
          <w:b/>
          <w:i w:val="0"/>
          <w:color w:val="1F2A37"/>
          <w:sz w:val="20"/>
        </w:rPr>
        <w:t>exemplo do condomínio de referência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cada ficha define as suas.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Prioridade de atendimento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Cenário 5 (vida &gt; incêndio &gt; drenagem de subsolo &gt; recalque &gt; esgoto &gt; conforto), incluindo tratar poço de esgoto prestes a transbordar no subsolo como alagamento, é julgamento do projeto e precisa de confirmação (R-08).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coluna </w:t>
      </w:r>
      <w:r>
        <w:rPr>
          <w:rFonts w:ascii="Arial" w:hAnsi="Arial" w:cs="Arial" w:eastAsia="Arial"/>
          <w:b/>
          <w:i w:val="0"/>
          <w:color w:val="1F2A37"/>
          <w:sz w:val="20"/>
        </w:rPr>
        <w:t>"Cenários"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catálogo foi preenchida por critério técnico geral e deve ser </w:t>
      </w:r>
      <w:r>
        <w:rPr>
          <w:rFonts w:ascii="Arial" w:hAnsi="Arial" w:cs="Arial" w:eastAsia="Arial"/>
          <w:b/>
          <w:i w:val="0"/>
          <w:color w:val="1F2A37"/>
          <w:sz w:val="20"/>
        </w:rPr>
        <w:t>revisada na primeira ficha real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planilha-mestre e os checklists não foram testados em campo. A </w:t>
      </w:r>
      <w:r>
        <w:rPr>
          <w:rFonts w:ascii="Arial" w:hAnsi="Arial" w:cs="Arial" w:eastAsia="Arial"/>
          <w:b/>
          <w:i w:val="0"/>
          <w:color w:val="1F2A37"/>
          <w:sz w:val="20"/>
        </w:rPr>
        <w:t>autovistoria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certifica dispositivo antirretorno nem teste de pressão: isso exige profissional habilitado.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Nenhum procedimento foi testado em simulado.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passo seguinte natural, depois desta revisão, é um simulado com a ronda no Cenário 1.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7 — O que acontece depois da revisão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O usuário registra as respostas (A / J / N / ?) e os valores definidos.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ajustes </w:t>
      </w:r>
      <w:r>
        <w:rPr>
          <w:rFonts w:ascii="Arial" w:hAnsi="Arial" w:cs="Arial" w:eastAsia="Arial"/>
          <w:b/>
          <w:i w:val="0"/>
          <w:color w:val="1F2A37"/>
          <w:sz w:val="20"/>
        </w:rPr>
        <w:t>J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viram nova versão dos procedimentos (v0.2).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valores da Parte 3 entram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condomínio, no OneDrive.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Os procedimentos revisados são impressos (fluxogramas A3 na sala de máquinas e na central) e a ronda é treinada.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Um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testa o Cenário 1, e o piloto valida os ramos contra um prédio real.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Revisor: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nome e registro profissional …………………………… Data ………… / ………… / …………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Síndico: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…………………………… Data ………… / ………… / …………</w:t>
      </w:r>
    </w:p>
    <w:sectPr w:rsidR="00FC693F" w:rsidRPr="0006063C" w:rsidSect="00034616">
      <w:footerReference w:type="default" r:id="rId11"/>
      <w:pgSz w:w="16838" w:h="11906" w:orient="landscape"/>
      <w:pgMar w:top="880" w:right="880" w:bottom="1240" w:left="88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Pacote de revisão técnica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15078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Pacote de revisão técnica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Pacote de revisão técnica — plano de contingência da água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