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drawing>
          <wp:inline distT="0" distB="0" distL="0" distR="0">
            <wp:extent cx="12382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D2AE6D" w:sz="10" w:space="6"/>
        </w:pBdr>
        <w:spacing w:after="260"/>
      </w:pP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F4162"/>
          <w:sz w:val="32"/>
          <w:szCs w:val="32"/>
        </w:rPr>
        <w:t xml:space="preserve">DOSSIÊ DE PREPARAÇÃO</w:t>
      </w:r>
    </w:p>
    <w:p>
      <w:pPr>
        <w:spacing w:after="8"/>
        <w:jc w:val="center"/>
      </w:pPr>
      <w:r>
        <w:rPr>
          <w:rFonts w:ascii="Calibri" w:cs="Calibri" w:eastAsia="Calibri" w:hAnsi="Calibri"/>
          <w:b/>
          <w:bCs/>
          <w:color w:val="2F4162"/>
          <w:sz w:val="28"/>
          <w:szCs w:val="28"/>
        </w:rPr>
        <w:t xml:space="preserve">APRESENTAÇÃO TÉCNICA AO EINSTEIN — 13/10/2026</w:t>
      </w:r>
    </w:p>
    <w:p>
      <w:pPr>
        <w:pBdr>
          <w:bottom w:val="single" w:color="C9CDD3" w:sz="6" w:space="8"/>
        </w:pBdr>
        <w:spacing w:after="260" w:before="100"/>
        <w:jc w:val="center"/>
      </w:pPr>
      <w:r>
        <w:rPr>
          <w:rFonts w:ascii="Calibri" w:cs="Calibri" w:eastAsia="Calibri" w:hAnsi="Calibri"/>
          <w:i/>
          <w:iCs/>
          <w:color w:val="5B6470"/>
          <w:sz w:val="20"/>
          <w:szCs w:val="20"/>
        </w:rPr>
        <w:t xml:space="preserve">Uso interno  ·  Não enviar ao cliente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3100"/>
        <w:gridCol w:w="6250"/>
      </w:tblGrid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Reunião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Terça, 13/10/2026, 10h–12h, Microsoft Teams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Condução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Denise Ferreira e Caio Gavioli</w:t>
            </w:r>
          </w:p>
        </w:tc>
      </w:tr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Apoio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Amanda Tigre, Marco Murino, Cláudia De Santi, André Ferreira da Silva</w:t>
            </w:r>
          </w:p>
        </w:tc>
      </w:tr>
      <w:tr>
        <w:trPr>
          <w:cantSplit/>
        </w:trPr>
        <w:tc>
          <w:tcPr>
            <w:tcW w:type="dxa" w:w="310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Documento</w:t>
            </w:r>
          </w:p>
        </w:tc>
        <w:tc>
          <w:tcPr>
            <w:tcW w:type="dxa" w:w="625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Roteiro, pontos de atenção, perguntas prováveis e checklist</w:t>
            </w:r>
          </w:p>
        </w:tc>
      </w:tr>
      <w:tr>
        <w:trPr>
          <w:cantSplit/>
        </w:trPr>
        <w:tc>
          <w:tcPr>
            <w:tcW w:type="dxa" w:w="310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b/>
                <w:bCs/>
                <w:color w:val="5B6470"/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625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/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Confidencial — uso exclusivo DF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1. A reunião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2465"/>
        <w:gridCol w:w="6885"/>
      </w:tblGrid>
      <w:tr>
        <w:trPr>
          <w:cantSplit/>
          <w:tblHeader/>
        </w:trPr>
        <w:tc>
          <w:tcPr>
            <w:tcW w:type="dxa" w:w="246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688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Detalhe</w:t>
            </w:r>
          </w:p>
        </w:tc>
      </w:tr>
      <w:tr>
        <w:trPr>
          <w:cantSplit/>
        </w:trPr>
        <w:tc>
          <w:tcPr>
            <w:tcW w:type="dxa" w:w="24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Data e local</w:t>
            </w:r>
          </w:p>
        </w:tc>
        <w:tc>
          <w:tcPr>
            <w:tcW w:type="dxa" w:w="68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Terça, 13/10/2026, 10h às 12h — Microsoft Teams (link no convite da Tami)</w:t>
            </w:r>
          </w:p>
        </w:tc>
      </w:tr>
      <w:tr>
        <w:trPr>
          <w:cantSplit/>
        </w:trPr>
        <w:tc>
          <w:tcPr>
            <w:tcW w:type="dxa" w:w="24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Objetivo, nas palavras do Einstein</w:t>
            </w:r>
          </w:p>
        </w:tc>
        <w:tc>
          <w:tcPr>
            <w:tcW w:type="dxa" w:w="68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"Apresentar, de forma estruturada, sua empresa e a solução proposta"; "defesa técnica da proposta"; "saneamento das dúvidas"; "alinhamento quanto ao escopo, modelo operacional e premissas da solução"</w:t>
            </w:r>
          </w:p>
        </w:tc>
      </w:tr>
      <w:tr>
        <w:trPr>
          <w:cantSplit/>
        </w:trPr>
        <w:tc>
          <w:tcPr>
            <w:tcW w:type="dxa" w:w="24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Einstein</w:t>
            </w:r>
          </w:p>
        </w:tc>
        <w:tc>
          <w:tcPr>
            <w:tcW w:type="dxa" w:w="68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Tami Del Grego Favero (Compras Indiretas), Pedro Orlando Victor Galletta Filho, Mariana Cavalcante (contato da visita ao Parque Global), Samara dos Santos Ricardo, Viviane Gomes Lopes Fialho; cc Gislene Carine dos Santos</w:t>
            </w:r>
          </w:p>
        </w:tc>
      </w:tr>
      <w:tr>
        <w:trPr>
          <w:cantSplit/>
        </w:trPr>
        <w:tc>
          <w:tcPr>
            <w:tcW w:type="dxa" w:w="24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Premissa sobre os cargos</w:t>
            </w:r>
          </w:p>
        </w:tc>
        <w:tc>
          <w:tcPr>
            <w:tcW w:type="dxa" w:w="68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Cargos não confirmados. Assumimos três públicos: Compras, Facilities e Operações</w:t>
            </w:r>
          </w:p>
        </w:tc>
      </w:tr>
      <w:tr>
        <w:trPr>
          <w:cantSplit/>
        </w:trPr>
        <w:tc>
          <w:tcPr>
            <w:tcW w:type="dxa" w:w="246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DF</w:t>
            </w:r>
          </w:p>
        </w:tc>
        <w:tc>
          <w:tcPr>
            <w:tcW w:type="dxa" w:w="688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 Ferreira e Caio Gavioli conduzem juntos (Caio compartilha a tela); Amanda Tigre, Marco Murino, Cláudia De Santi e André Ferreira da Silva de apoio às perguntas</w:t>
            </w:r>
          </w:p>
        </w:tc>
      </w:tr>
      <w:tr>
        <w:trPr>
          <w:cantSplit/>
        </w:trPr>
        <w:tc>
          <w:tcPr>
            <w:tcW w:type="dxa" w:w="246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Material</w:t>
            </w:r>
          </w:p>
        </w:tc>
        <w:tc>
          <w:tcPr>
            <w:tcW w:type="dxa" w:w="688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Apresentação PowerPoint (23 slides: 21 de exposição + 2 de apoio ocultos, que só aparecem se você navegar até eles); relatório executivo para enviar depois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2. As cinco mensagens que precisam ficar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Independência: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 DF não é administradora — fiscaliza quem executa, em nome do Einstein.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Entendimento: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três unidades, três desafios; dedicação calibrada para cada uma.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Rateio: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casos reais de subsídio cruzado corrigidos (SPHQ I, 17007).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Governança à prova de risco: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nenhum voto sem autorização escrita; SLAs iguais ou melhores que a referência.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Hospital em condomínio multiuso: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já fazemos isso hoje no O Parque.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Controle com ferramentas próprias: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Boletim Diário, rotinas automáticas e relatórios técnicos — tudo em operação.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3. Roteiro e tempo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889"/>
        <w:gridCol w:w="6031"/>
        <w:gridCol w:w="1289"/>
        <w:gridCol w:w="1141"/>
      </w:tblGrid>
      <w:tr>
        <w:trPr>
          <w:cantSplit/>
          <w:tblHeader/>
        </w:trPr>
        <w:tc>
          <w:tcPr>
            <w:tcW w:type="dxa" w:w="889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Slide</w:t>
            </w:r>
          </w:p>
        </w:tc>
        <w:tc>
          <w:tcPr>
            <w:tcW w:type="dxa" w:w="6031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Conteúdo</w:t>
            </w:r>
          </w:p>
        </w:tc>
        <w:tc>
          <w:tcPr>
            <w:tcW w:type="dxa" w:w="1289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Quem conduz</w:t>
            </w:r>
          </w:p>
        </w:tc>
        <w:tc>
          <w:tcPr>
            <w:tcW w:type="dxa" w:w="1141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Tempo</w:t>
            </w:r>
          </w:p>
        </w:tc>
      </w:tr>
      <w:tr>
        <w:trPr>
          <w:cantSplit/>
        </w:trPr>
        <w:tc>
          <w:tcPr>
            <w:tcW w:type="dxa" w:w="8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1–2</w:t>
            </w:r>
          </w:p>
        </w:tc>
        <w:tc>
          <w:tcPr>
            <w:tcW w:type="dxa" w:w="603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Abertura e agenda</w:t>
            </w:r>
          </w:p>
        </w:tc>
        <w:tc>
          <w:tcPr>
            <w:tcW w:type="dxa" w:w="12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8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</w:t>
            </w:r>
          </w:p>
        </w:tc>
        <w:tc>
          <w:tcPr>
            <w:tcW w:type="dxa" w:w="603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Três unidades, três desafios</w:t>
            </w:r>
          </w:p>
        </w:tc>
        <w:tc>
          <w:tcPr>
            <w:tcW w:type="dxa" w:w="12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11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</w:t>
            </w:r>
          </w:p>
        </w:tc>
        <w:tc>
          <w:tcPr>
            <w:tcW w:type="dxa" w:w="603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Governança × operação</w:t>
            </w:r>
          </w:p>
        </w:tc>
        <w:tc>
          <w:tcPr>
            <w:tcW w:type="dxa" w:w="12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5–6</w:t>
            </w:r>
          </w:p>
        </w:tc>
        <w:tc>
          <w:tcPr>
            <w:tcW w:type="dxa" w:w="603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DF em números e equipe</w:t>
            </w:r>
          </w:p>
        </w:tc>
        <w:tc>
          <w:tcPr>
            <w:tcW w:type="dxa" w:w="12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7–8</w:t>
            </w:r>
          </w:p>
        </w:tc>
        <w:tc>
          <w:tcPr>
            <w:tcW w:type="dxa" w:w="603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Cases</w:t>
            </w:r>
          </w:p>
        </w:tc>
        <w:tc>
          <w:tcPr>
            <w:tcW w:type="dxa" w:w="12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 e Caio</w:t>
            </w:r>
          </w:p>
        </w:tc>
        <w:tc>
          <w:tcPr>
            <w:tcW w:type="dxa" w:w="11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 min</w:t>
            </w:r>
          </w:p>
        </w:tc>
      </w:tr>
      <w:tr>
        <w:trPr>
          <w:cantSplit/>
        </w:trPr>
        <w:tc>
          <w:tcPr>
            <w:tcW w:type="dxa" w:w="8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9</w:t>
            </w:r>
          </w:p>
        </w:tc>
        <w:tc>
          <w:tcPr>
            <w:tcW w:type="dxa" w:w="603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Metodologia de rateio</w:t>
            </w:r>
          </w:p>
        </w:tc>
        <w:tc>
          <w:tcPr>
            <w:tcW w:type="dxa" w:w="12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11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10</w:t>
            </w:r>
          </w:p>
        </w:tc>
        <w:tc>
          <w:tcPr>
            <w:tcW w:type="dxa" w:w="603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Presença por unidade</w:t>
            </w:r>
          </w:p>
        </w:tc>
        <w:tc>
          <w:tcPr>
            <w:tcW w:type="dxa" w:w="12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11</w:t>
            </w:r>
          </w:p>
        </w:tc>
        <w:tc>
          <w:tcPr>
            <w:tcW w:type="dxa" w:w="603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SLAs</w:t>
            </w:r>
          </w:p>
        </w:tc>
        <w:tc>
          <w:tcPr>
            <w:tcW w:type="dxa" w:w="12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8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12</w:t>
            </w:r>
          </w:p>
        </w:tc>
        <w:tc>
          <w:tcPr>
            <w:tcW w:type="dxa" w:w="603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Governança de voto</w:t>
            </w:r>
          </w:p>
        </w:tc>
        <w:tc>
          <w:tcPr>
            <w:tcW w:type="dxa" w:w="12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 min</w:t>
            </w:r>
          </w:p>
        </w:tc>
      </w:tr>
      <w:tr>
        <w:trPr>
          <w:cantSplit/>
        </w:trPr>
        <w:tc>
          <w:tcPr>
            <w:tcW w:type="dxa" w:w="8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13–14</w:t>
            </w:r>
          </w:p>
        </w:tc>
        <w:tc>
          <w:tcPr>
            <w:tcW w:type="dxa" w:w="603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Entregáveis e mobilização</w:t>
            </w:r>
          </w:p>
        </w:tc>
        <w:tc>
          <w:tcPr>
            <w:tcW w:type="dxa" w:w="12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11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 min</w:t>
            </w:r>
          </w:p>
        </w:tc>
      </w:tr>
      <w:tr>
        <w:trPr>
          <w:cantSplit/>
        </w:trPr>
        <w:tc>
          <w:tcPr>
            <w:tcW w:type="dxa" w:w="8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15</w:t>
            </w:r>
          </w:p>
        </w:tc>
        <w:tc>
          <w:tcPr>
            <w:tcW w:type="dxa" w:w="603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Continuidade</w:t>
            </w:r>
          </w:p>
        </w:tc>
        <w:tc>
          <w:tcPr>
            <w:tcW w:type="dxa" w:w="12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16–18</w:t>
            </w:r>
          </w:p>
        </w:tc>
        <w:tc>
          <w:tcPr>
            <w:tcW w:type="dxa" w:w="603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Como a DF controla: Boletim, rotinas automáticas e relatórios técnicos</w:t>
            </w:r>
          </w:p>
        </w:tc>
        <w:tc>
          <w:tcPr>
            <w:tcW w:type="dxa" w:w="12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Caio</w:t>
            </w:r>
          </w:p>
        </w:tc>
        <w:tc>
          <w:tcPr>
            <w:tcW w:type="dxa" w:w="11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 min</w:t>
            </w:r>
          </w:p>
        </w:tc>
      </w:tr>
      <w:tr>
        <w:trPr>
          <w:cantSplit/>
        </w:trPr>
        <w:tc>
          <w:tcPr>
            <w:tcW w:type="dxa" w:w="8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19</w:t>
            </w:r>
          </w:p>
        </w:tc>
        <w:tc>
          <w:tcPr>
            <w:tcW w:type="dxa" w:w="603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Escopo</w:t>
            </w:r>
          </w:p>
        </w:tc>
        <w:tc>
          <w:tcPr>
            <w:tcW w:type="dxa" w:w="12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20–21</w:t>
            </w:r>
          </w:p>
        </w:tc>
        <w:tc>
          <w:tcPr>
            <w:tcW w:type="dxa" w:w="603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Por que a DF e encerramento</w:t>
            </w:r>
          </w:p>
        </w:tc>
        <w:tc>
          <w:tcPr>
            <w:tcW w:type="dxa" w:w="12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Denise</w:t>
            </w:r>
          </w:p>
        </w:tc>
        <w:tc>
          <w:tcPr>
            <w:tcW w:type="dxa" w:w="11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 min</w:t>
            </w:r>
          </w:p>
        </w:tc>
      </w:tr>
      <w:tr>
        <w:trPr>
          <w:cantSplit/>
        </w:trPr>
        <w:tc>
          <w:tcPr>
            <w:tcW w:type="dxa" w:w="8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—</w:t>
            </w:r>
          </w:p>
        </w:tc>
        <w:tc>
          <w:tcPr>
            <w:tcW w:type="dxa" w:w="603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Total da exposição</w:t>
            </w:r>
          </w:p>
        </w:tc>
        <w:tc>
          <w:tcPr>
            <w:tcW w:type="dxa" w:w="128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</w:p>
        </w:tc>
        <w:tc>
          <w:tcPr>
            <w:tcW w:type="dxa" w:w="1141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8"/>
                <w:szCs w:val="18"/>
              </w:rPr>
              <w:t xml:space="preserve">~47 min</w:t>
            </w:r>
          </w:p>
        </w:tc>
      </w:tr>
      <w:tr>
        <w:trPr>
          <w:cantSplit/>
        </w:trPr>
        <w:tc>
          <w:tcPr>
            <w:tcW w:type="dxa" w:w="8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—</w:t>
            </w:r>
          </w:p>
        </w:tc>
        <w:tc>
          <w:tcPr>
            <w:tcW w:type="dxa" w:w="603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Perguntas e saneamento de dúvidas</w:t>
            </w:r>
          </w:p>
        </w:tc>
        <w:tc>
          <w:tcPr>
            <w:tcW w:type="dxa" w:w="128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Todos</w:t>
            </w:r>
          </w:p>
        </w:tc>
        <w:tc>
          <w:tcPr>
            <w:tcW w:type="dxa" w:w="1141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~65 min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4. O que cada área quer ouvir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1475"/>
        <w:gridCol w:w="4909"/>
        <w:gridCol w:w="2966"/>
      </w:tblGrid>
      <w:tr>
        <w:trPr>
          <w:cantSplit/>
          <w:tblHeader/>
        </w:trPr>
        <w:tc>
          <w:tcPr>
            <w:tcW w:type="dxa" w:w="1475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Área (presumida)</w:t>
            </w:r>
          </w:p>
        </w:tc>
        <w:tc>
          <w:tcPr>
            <w:tcW w:type="dxa" w:w="4909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Preocupação provável</w:t>
            </w:r>
          </w:p>
        </w:tc>
        <w:tc>
          <w:tcPr>
            <w:tcW w:type="dxa" w:w="2966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Onde respondemos</w:t>
            </w:r>
          </w:p>
        </w:tc>
      </w:tr>
      <w:tr>
        <w:trPr>
          <w:cantSplit/>
        </w:trPr>
        <w:tc>
          <w:tcPr>
            <w:tcW w:type="dxa" w:w="147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Compras</w:t>
            </w:r>
          </w:p>
        </w:tc>
        <w:tc>
          <w:tcPr>
            <w:tcW w:type="dxa" w:w="490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Equalização entre proponentes; premissas claras; nada fora da mensalidade; aceite integral da minuta e dos entregáveis</w:t>
            </w:r>
          </w:p>
        </w:tc>
        <w:tc>
          <w:tcPr>
            <w:tcW w:type="dxa" w:w="2966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Slides 11, 13 e 19; carta de aceite já enviada</w:t>
            </w:r>
          </w:p>
        </w:tc>
      </w:tr>
      <w:tr>
        <w:trPr>
          <w:cantSplit/>
        </w:trPr>
        <w:tc>
          <w:tcPr>
            <w:tcW w:type="dxa" w:w="1475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Facilities</w:t>
            </w:r>
          </w:p>
        </w:tc>
        <w:tc>
          <w:tcPr>
            <w:tcW w:type="dxa" w:w="4909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Resposta a crise 24x7; sistemas críticos; interface com a administradora; implantação de Pinheiros</w:t>
            </w:r>
          </w:p>
        </w:tc>
        <w:tc>
          <w:tcPr>
            <w:tcW w:type="dxa" w:w="2966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Slides 3, 9, 11, 14, 15, 16 e 17</w:t>
            </w:r>
          </w:p>
        </w:tc>
      </w:tr>
      <w:tr>
        <w:trPr>
          <w:cantSplit/>
        </w:trPr>
        <w:tc>
          <w:tcPr>
            <w:tcW w:type="dxa" w:w="1475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Operações</w:t>
            </w:r>
          </w:p>
        </w:tc>
        <w:tc>
          <w:tcPr>
            <w:tcW w:type="dxa" w:w="4909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Rotina com as unidades; quem faz o quê; assembleias; relatórios</w:t>
            </w:r>
          </w:p>
        </w:tc>
        <w:tc>
          <w:tcPr>
            <w:tcW w:type="dxa" w:w="2966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Slides 4, 10, 12, 13 e 18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5. Pontos de atenção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SLA ajustado na apresentação.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 primeira resposta da ordinária caiu de 2 dias úteis (proposta enviada) para 1 dia útil, e a crítica ganhou plano de ação em até 4 h. Dizer explicitamente que é um ajuste para alinhar à referência de 30/09 e que será formalizado por escrito.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Não falar de preço.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A proposta comercial já foi enviada; se perguntarem, responder que os valores estão na proposta comercial e que a DF está aberta à fase de equalização.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Não usar "convocar e presidir assembleias" nem "aprovar despesas".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O e-mail de 01/10 usou essas expressões; a RFP diz que o subsíndico não substitui o Síndico Geral e que a decisão é sempre do Einstein.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"Olhos do dono" → "olhos do Einstein".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Em Pinheiros o Einstein é locatário de um fundo; a expressão pode soar como defesa do proprietário.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Não citar administradoras pelo nome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nem atacar concorrentes. O argumento é estrutural: quem executa não deve fiscalizar a si mesmo.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Nome do gerente financeiro: Marco Murino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(confirmado). As propostas técnicas de 01/10 grafaram "Murilo" — se surgir, corrigir verbalmente; o relatório executivo já está certo.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Cases sem valor em R$.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Se pedirem números, responder qualitativamente e oferecer o contato de referência do cliente.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Sírio-Libanês: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pode ser citado — a locação é pública.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Slides 16–18 (controles DF):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não citar clientes nem prédios dos relatórios técnicos — o slide diz que é por sigilo. Se pedirem para ver, oferecer uma versão anonimizada após a contratação.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Slides de apoio ocultos (22 e 23):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no modo de apresentação, digite o número do slide e Enter para mostrá-los.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Pagamento em 90 dias e reajuste anual: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já aceitos na carta de aceite da minuta; não reabrir.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6. Perguntas prováveis e respostas sugeridas</w:t>
      </w:r>
    </w:p>
    <w:tbl>
      <w:tblPr>
        <w:tblW w:type="dxa" w:w="9350"/>
        <w:tblBorders>
          <w:top w:val="single" w:color="C9CDD3" w:sz="4"/>
          <w:left w:val="single" w:color="C9CDD3" w:sz="4"/>
          <w:bottom w:val="single" w:color="C9CDD3" w:sz="4"/>
          <w:right w:val="single" w:color="C9CDD3" w:sz="4"/>
          <w:insideH w:val="single" w:color="C9CDD3" w:sz="4"/>
          <w:insideV w:val="single" w:color="C9CDD3" w:sz="4"/>
        </w:tblBorders>
      </w:tblPr>
      <w:tblGrid>
        <w:gridCol w:w="530"/>
        <w:gridCol w:w="3917"/>
        <w:gridCol w:w="4903"/>
      </w:tblGrid>
      <w:tr>
        <w:trPr>
          <w:cantSplit/>
          <w:tblHeader/>
        </w:trPr>
        <w:tc>
          <w:tcPr>
            <w:tcW w:type="dxa" w:w="530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3917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Pergunta provável</w:t>
            </w:r>
          </w:p>
        </w:tc>
        <w:tc>
          <w:tcPr>
            <w:tcW w:type="dxa" w:w="4903"/>
            <w:shd w:fill="2F4162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Resposta sugerida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Qual a diferença entre a DF e uma administradora predial?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 administradora executa (operação, financeiro, equipes). A DF representa o Einstein e fiscaliza quem executa. Se a mesma empresa fizer as duas coisas, ninguém fiscaliza a administradora.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2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Vocês vão votar em nome do Einstein?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Só com autorização escrita, inclusive em matérias de rotina. Imprevisto em assembleia: abstenção, ressalva em ata ou adiamento e comunicação no mesmo dia.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3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Por que o SLA da ordinária mudou?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Recebemos a referência do Einstein e alinhamos: 1 dia útil para a primeira resposta. Formalizamos por escrito após a reunião.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4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Quem atende de madrugada numa ocorrência crítica?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Plantão telefônico: Denise → Amanda → Caio → prepostos. Resposta em até 30 min, plano de ação em até 4 h, presença em até 6 h.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5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 se a Denise sair de férias ou ficar doente?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Dois substitutos qualificados e todo o histórico no repositório corporativo (OneDrive) — a substituição é imediata, sem perda de informação.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6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Como vocês tratam os sistemas críticos de Pinheiros no rateio?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É o primeiro ponto do diagnóstico: mapear o que o Einstein opera e paga e que também atende outros setores, e propor critério de reembolso ou rateio fundamentado na convenção.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7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Vocês elaboram balancetes e prestação de contas?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Não — é papel da administradora. A DF revisa, valida e cobra correções.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8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que gera cobrança extra?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Só laudos e perícias de terceiros, escritórios externos e contencioso, auditoria independente, custas cartoriais e viagens fora da Grande SP — sempre com autorização prévia e orçamento à parte.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9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Por que tantas horas em Pinheiros no início?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Entrega da obra em out/2026 e operação em jan/2027: a implantação define contratos, rateios e rotinas que valem pelos próximos anos.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10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Vocês têm experiência hospitalar?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Hoje, no O Parque, gerimos a implantação de um complexo multiuso com a torre do Hospital Sírio-Libanês — com os sistemas críticos que a operação hospitalar exige.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11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Têm algum conflito de interesse?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Nenhum vínculo com condomínios, administradoras, proprietários ou gestores das unidades — declaração assinada já entregue. Fornecedores serão verificados na mobilização.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12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dashboard é um sistema?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Não: é entregue como relatório gráfico mensal a partir de D+90, nos canais autorizados pelo Einstein (LGPD).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13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Como fica a LGPD?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Diretora de LGPD dedicada; documentos do Einstein só pelos canais autorizados; acesso restrito ao time do contrato; incidentes comunicados de imediato.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14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que vocês precisam do Einstein para começar?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Ata de eleição e procurações, convenção, contratos, 12 meses de prestação de contas, contatos e as alçadas internas (slide de apoio 23, oculto).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15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Qual o primeiro resultado concreto?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Primeiro relatório executivo em D+30 e, se a Previsão Orçamentária 2027 ainda não estiver aprovada, sua revisão com prioridade.</w:t>
            </w:r>
          </w:p>
        </w:tc>
      </w:tr>
      <w:tr>
        <w:trPr>
          <w:cantSplit/>
        </w:trPr>
        <w:tc>
          <w:tcPr>
            <w:tcW w:type="dxa" w:w="530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16</w:t>
            </w:r>
          </w:p>
        </w:tc>
        <w:tc>
          <w:tcPr>
            <w:tcW w:type="dxa" w:w="3917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O Einstein vai precisar usar o sistema de vocês?</w:t>
            </w:r>
          </w:p>
        </w:tc>
        <w:tc>
          <w:tcPr>
            <w:tcW w:type="dxa" w:w="4903"/>
            <w:shd w:fill="F5F5F5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Não. O Boletim e as rotinas são ferramentas da DF; o Einstein recebe os resultados nos relatórios e pareceres, pelos canais que autorizar.</w:t>
            </w:r>
          </w:p>
        </w:tc>
      </w:tr>
      <w:tr>
        <w:trPr>
          <w:cantSplit/>
        </w:trPr>
        <w:tc>
          <w:tcPr>
            <w:tcW w:type="dxa" w:w="530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17</w:t>
            </w:r>
          </w:p>
        </w:tc>
        <w:tc>
          <w:tcPr>
            <w:tcW w:type="dxa" w:w="3917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Esses sistemas são da DF ou de terceiros?</w:t>
            </w:r>
          </w:p>
        </w:tc>
        <w:tc>
          <w:tcPr>
            <w:tcW w:type="dxa" w:w="4903"/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line="260"/>
            </w:pPr>
            <w:r>
              <w:rPr>
                <w:rFonts w:ascii="Calibri" w:cs="Calibri" w:eastAsia="Calibri" w:hAnsi="Calibri"/>
                <w:color w:val="1F2A37"/>
                <w:sz w:val="18"/>
                <w:szCs w:val="18"/>
              </w:rPr>
              <w:t xml:space="preserve">Desenvolvidos pela DF e em operação nos condomínios que administramos.</w:t>
            </w:r>
          </w:p>
        </w:tc>
      </w:tr>
    </w:tbl>
    <w:p>
      <w:pPr>
        <w:spacing w:after="120"/>
      </w:pP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7. Checklist técnico do Teams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Entrar 10 minutos antes; testar áudio, câmera e compartilhamento de tela.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b/>
          <w:bCs/>
          <w:color w:val="1F2A37"/>
          <w:sz w:val="20"/>
          <w:szCs w:val="20"/>
        </w:rPr>
        <w:t xml:space="preserve">Caio compartilha a tela</w:t>
      </w:r>
      <w:r>
        <w:rPr>
          <w:rFonts w:ascii="Calibri" w:cs="Calibri" w:eastAsia="Calibri" w:hAnsi="Calibri"/>
          <w:color w:val="1F2A37"/>
          <w:sz w:val="20"/>
          <w:szCs w:val="20"/>
        </w:rPr>
        <w:t xml:space="preserve"> e passa os slides; a Denise acompanha as notas do apresentador (PDF ou PowerPoint) em outra tela.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Abrir o PowerPoint em modo de apresentação; ter o PDF da apresentação aberto como reserva.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Câmeras ligadas; apoio (Amanda, Marco, Cláudia, André) com microfone mudo até ser chamado.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Ter abertos: propostas técnicas enviadas, carta de aceite, declaração de independência e o e-mail de 30/09 da Tami.</w:t>
      </w:r>
    </w:p>
    <w:p>
      <w:pPr>
        <w:pStyle w:val="Heading1"/>
        <w:keepNext/>
        <w:pBdr>
          <w:bottom w:val="single" w:color="2F4162" w:sz="8" w:space="4"/>
        </w:pBdr>
        <w:spacing w:after="180" w:before="380"/>
      </w:pPr>
      <w:r>
        <w:rPr>
          <w:rFonts w:ascii="Calibri" w:cs="Calibri" w:eastAsia="Calibri" w:hAnsi="Calibri"/>
          <w:b/>
          <w:bCs/>
          <w:color w:val="2F4162"/>
          <w:sz w:val="26"/>
          <w:szCs w:val="26"/>
        </w:rPr>
        <w:t xml:space="preserve">8. Depois da reunião (em até 24 horas)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Enviar à Tami o relatório executivo em PDF e a apresentação em PDF.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No mesmo e-mail, formalizar o ajuste de SLA (ordinária em 1 dia útil; crítica com plano de ação em até 4 h).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Responder por escrito qualquer pergunta que tenha ficado pendente na reunião.</w:t>
      </w:r>
    </w:p>
    <w:p>
      <w:pPr>
        <w:pStyle w:val="ListParagraph"/>
        <w:numPr>
          <w:ilvl w:val="0"/>
          <w:numId w:val="1"/>
        </w:numPr>
        <w:spacing w:after="110" w:line="290"/>
        <w:ind w:left="360"/>
        <w:jc w:val="both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Registrar no repositório as perguntas feitas e as respostas dadas.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AE6D" w:sz="8" w:space="6"/>
      </w:pBdr>
      <w:tabs>
        <w:tab w:val="right" w:pos="9026"/>
      </w:tabs>
    </w:pPr>
    <w:r>
      <w:rPr>
        <w:rFonts w:ascii="Calibri" w:cs="Calibri" w:eastAsia="Calibri" w:hAnsi="Calibri"/>
        <w:b/>
        <w:bCs/>
        <w:color w:val="2F4162"/>
        <w:sz w:val="15"/>
        <w:szCs w:val="15"/>
      </w:rPr>
      <w:t xml:space="preserve">DF SÍNDICOS PROFISSIONAIS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t xml:space="preserve">  ·  Dossiê interno — uso exclusivo DF  —  Confidencial  ·  www.dfsindicos.com.br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t xml:space="preserve">	Página </w:t>
    </w:r>
    <w:r>
      <w:rPr>
        <w:rFonts w:ascii="Calibri" w:cs="Calibri" w:eastAsia="Calibri" w:hAnsi="Calibri"/>
        <w:i/>
        <w:iCs/>
        <w:color w:val="5B647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9e9fce57de8da4069c1d127bbcf0e1730e56717.png"/><Relationship Id="rId2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2026-09-22T00:55:28.154Z</dcterms:created>
  <dcterms:modified xsi:type="dcterms:W3CDTF">2026-09-22T00:55:28.160Z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