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RELATÓRIO EXECUTIVO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DEFESA TÉCNICA — REPRESENTANTE CONDOMINIAL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Einstein  ·  Parque Global, Pinheiros e Artur de Azevedo  ·  DF Síndicos Profissionais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Cliente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Sociedade Beneficente Israelita Brasileira Albert Einstein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Processo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RFP 2026 – Representante Condominial – Unidades Artur de Azevedo, Pinheiros e Parque Global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 —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Proponente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DF Síndicos Profissionais Ltda. — CNPJ 20.330.326/0001-94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Profissional titular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— CEO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Data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Síntese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Síndicos Profissionais propõe atuar como subsíndica profissional das três unidades do Einstein — Parque Global, Unidade Hospitalar Pinheiros e Espaço Einstein Artur de Azevedo — representando a Instituição nas instâncias condominiais com independência técnica, análise financeira e de rateio, e governança de voto que não admite manifestação sem autorização prévia e por escrito do Einstein.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Este relatório resume a defesa técnica apresentada em 13/10/2026 e formaliza os compromissos assumidos na reunião, inclusive o alinhamento dos SLAs à referência enviada pelo Einstein em 30/09/2026.</w:t>
      </w:r>
    </w:p>
    <w:p>
      <w:pPr>
        <w:keepNext/>
        <w:spacing w:before="220" w:after="100"/>
      </w:pPr>
      <w:r>
        <w:rPr>
          <w:rFonts w:ascii="Calibri" w:cs="Calibri" w:eastAsia="Calibri" w:hAnsi="Calibri"/>
          <w:b/>
          <w:bCs/>
          <w:color w:val="2F4162"/>
          <w:sz w:val="23"/>
          <w:szCs w:val="23"/>
        </w:rPr>
        <w:t xml:space="preserve">Compromissos centrais: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Titular dedicada (Denise Ferreira) com dois substitutos qualificados e retaguarda financeira, jurídica, de engenharia e de LGPD.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SLAs iguais ou melhores que a referência do Einstein em todos os níveis de criticidade.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Nenhum voto ou manifestação em nome do Einstein sem autorização escrita — inclusive em matérias de rotina.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Metodologia de rateio voltada a identificar e corrigir subsídios cruzados entre setores.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Aceite integral dos seis entregáveis previstos na RFP, com o primeiro relatório executivo em D+30.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O que entendemos das três unidades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11"/>
        <w:gridCol w:w="3898"/>
        <w:gridCol w:w="3841"/>
      </w:tblGrid>
      <w:tr>
        <w:trPr>
          <w:cantSplit/>
          <w:tblHeader/>
        </w:trPr>
        <w:tc>
          <w:tcPr>
            <w:tcW w:type="dxa" w:w="161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389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Situação do Einstein</w:t>
            </w:r>
          </w:p>
        </w:tc>
        <w:tc>
          <w:tcPr>
            <w:tcW w:type="dxa" w:w="384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Foco da atuação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Complexo multiuso, com setores e subcondomínios, despesas comuns e específicas e múltiplos stakeholders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setorial e segregação de despesas</w:t>
            </w:r>
          </w:p>
        </w:tc>
      </w:tr>
      <w:tr>
        <w:trPr>
          <w:cantSplit/>
        </w:trPr>
        <w:tc>
          <w:tcPr>
            <w:tcW w:type="dxa" w:w="16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Unidade Hospitalar Pinheiros</w:t>
            </w:r>
          </w:p>
        </w:tc>
        <w:tc>
          <w:tcPr>
            <w:tcW w:type="dxa" w:w="389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Ocupante majoritário (~95%), com sistemas críticos operados diretamente pelo Einstein; operação a partir de jan/2027</w:t>
            </w:r>
          </w:p>
        </w:tc>
        <w:tc>
          <w:tcPr>
            <w:tcW w:type="dxa" w:w="38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Rateio dos sistemas críticos e acompanhamento da implantação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Espaço Einstein Artur de Azevedo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Condômino minoritário (~1.400 m²) em edifício de terceiros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Pagar apenas o que lhe cabe e defender as necessidades da operação de saúde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O papel da DF: governança, não operação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atua na esfera estratégica, institucional e de representação: representa o Einstein, analisa orçamento, rateio, contratos e contas, fiscaliza a administradora e recomenda posicionamentos. A operação diária, as equipes residentes, as contas a pagar e a receber e a elaboração de balancetes e prestações de contas permanecem com a administradora predial.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Essa separação garante que quem fiscaliza não seja quem executa. A atuação é de subsíndico setorial, nos termos da convenção: não substitui o Síndico Geral e respeita sempre as alçadas definidas pelo Einstein.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Equipe e dedicação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470"/>
        <w:gridCol w:w="3880"/>
      </w:tblGrid>
      <w:tr>
        <w:trPr>
          <w:cantSplit/>
          <w:tblHeader/>
        </w:trPr>
        <w:tc>
          <w:tcPr>
            <w:tcW w:type="dxa" w:w="547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88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Profissional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Titular — interlocução, assembleias e governança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(CEO)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Substituta — jurídico, contratos e convenção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Amanda Tigre (Sócia Diretora)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Substituto — engenharia, operação e sistemas críticos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 Gavioli (Diretor de Operações)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Financeiro — balancetes, orçamento e rateio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Marco Murino (Gerente Financeiro)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Proteção de dados (LGPD)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Cláudia De Santi (Diretora de LGPD)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265"/>
        <w:gridCol w:w="2365"/>
        <w:gridCol w:w="5720"/>
      </w:tblGrid>
      <w:tr>
        <w:trPr>
          <w:cantSplit/>
          <w:tblHeader/>
        </w:trPr>
        <w:tc>
          <w:tcPr>
            <w:tcW w:type="dxa" w:w="12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23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Dedicação</w:t>
            </w:r>
          </w:p>
        </w:tc>
        <w:tc>
          <w:tcPr>
            <w:tcW w:type="dxa" w:w="572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Presença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46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Visitas semanais de 6 h da titular, visita técnica mensal e todas as assembleias</w:t>
            </w:r>
          </w:p>
        </w:tc>
      </w:tr>
      <w:tr>
        <w:trPr>
          <w:cantSplit/>
        </w:trPr>
        <w:tc>
          <w:tcPr>
            <w:tcW w:type="dxa" w:w="12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Pinheiros</w:t>
            </w:r>
          </w:p>
        </w:tc>
        <w:tc>
          <w:tcPr>
            <w:tcW w:type="dxa" w:w="23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48 h/mês até jun/2027; 28 h/mês depois</w:t>
            </w:r>
          </w:p>
        </w:tc>
        <w:tc>
          <w:tcPr>
            <w:tcW w:type="dxa" w:w="572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Semanal na implantação, quinzenal depois; 2 visitas técnicas/mês na implantação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Artur de Azevedo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~14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 mensal, visita técnica trimestral e todas as assembleias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SLAs alinhados à referência do Einstein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Os prazos abaixo substituem os da proposta técnica de 01/10/2026 onde forem mais exigentes: a primeira resposta da demanda ordinária passa a ser de 1 dia útil, e a demanda crítica passa a contar com plano de ação em até 4 horas.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2678"/>
        <w:gridCol w:w="5197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Criticidade</w:t>
            </w:r>
          </w:p>
        </w:tc>
        <w:tc>
          <w:tcPr>
            <w:tcW w:type="dxa" w:w="267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Referência Einstein</w:t>
            </w:r>
          </w:p>
        </w:tc>
        <w:tc>
          <w:tcPr>
            <w:tcW w:type="dxa" w:w="51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Compromisso DF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Crítica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h · 4 h ou plano de ação imediato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30 min, por telefone, 24x7 · plano de ação em até 4 h · presença em até 6 h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Urgente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h · 1 dia útil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h úteis, por telefone · 1 dia útil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Ordinária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Complexa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dias úteis · prazo acordado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útil, com prazo proposto · até 10 dias úteis, com prévia em 5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Pareceres para assembleia: até 3 dias úteis após o edital e, no mínimo, 5 dias úteis antes da assembleia, para que o Einstein cumpra suas alçadas internas.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Governança e autorização de votos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85"/>
        <w:gridCol w:w="5407"/>
        <w:gridCol w:w="2258"/>
      </w:tblGrid>
      <w:tr>
        <w:trPr>
          <w:cantSplit/>
          <w:tblHeader/>
        </w:trPr>
        <w:tc>
          <w:tcPr>
            <w:tcW w:type="dxa" w:w="16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540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 que acontece</w:t>
            </w:r>
          </w:p>
        </w:tc>
        <w:tc>
          <w:tcPr>
            <w:tcW w:type="dxa" w:w="225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 Classificação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Pauta classificada em rotina ou estratégica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após o edital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 Análise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Nota (rotina) ou parecer completo (estratégica), com recomendação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dias úteis após o edital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 Alinhamento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Reunião ou call com os representantes do Einstein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autorização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 Autorização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Orientação de voto por escrito, conforme alçadas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assembleia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 Assembleia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Voto exatamente conforme autorizado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 assembleia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6. Registro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Deliberações e recomendações registradas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Imprevistos em assembleia — tema fora de pauta ou proposta diferente da analisada: a DF não vota em nome do Einstein; abstém-se, pede ressalva em ata ou adiamento e comunica o Einstein no mesmo dia.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Metodologia de rateio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Diagnóstico (até D+60):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convenção, especificação, frações, contratos, orçamento e 12 balancetes; entrevistas e visita técnica; matriz de critério por conta com fundamento na convenção; relatório situação atual × situação correta.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Rotina mensal: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do balancete contra orçamento e contratos; conferência das pastas por amostragem; parecer sempre que uma conta variar ±5% do previsto.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Orçamento e eventos: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da matriz na Previsão Orçamentária, simulação do rateio por setor, revisão em novo contrato, obra ou mudança de ocupação, e proposta formal de correção em assembleia.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Entregáveis e mobilização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848"/>
        <w:gridCol w:w="3805"/>
        <w:gridCol w:w="1697"/>
      </w:tblGrid>
      <w:tr>
        <w:trPr>
          <w:cantSplit/>
          <w:tblHeader/>
        </w:trPr>
        <w:tc>
          <w:tcPr>
            <w:tcW w:type="dxa" w:w="384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  <w:tc>
          <w:tcPr>
            <w:tcW w:type="dxa" w:w="380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Periodicidade</w:t>
            </w:r>
          </w:p>
        </w:tc>
        <w:tc>
          <w:tcPr>
            <w:tcW w:type="dxa" w:w="16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Primeira entrega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executivo mensal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Mensal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D+30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Dashboard orçamentário e de rateio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gráfico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D+90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Pareceres técnicos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Sob demanda, nos prazos do item 5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Conforme demanda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Matriz de riscos e plano de mitigação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Trimestral ou por risco novo relevante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Registro de deliberações de assembleia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 cada assembleia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Primeira assembleia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Plano de 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Acompanhamento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Mobilização: kick-off na semana 1, apresentação aos interlocutores e pedido de documentos nas semanas 1 e 2, imersão nas semanas 2 a 4, diagnóstico até D+60 e operação plena a partir de D+90. A Previsão Orçamentária 2027, se ainda não aprovada, será revisada com prioridade.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9. Experiência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SPHQ I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condomínio geral + três subcondomínios; DF síndica desde 2014): rateio único por fração ideal substituído por um Coeficiente de Rateio de Despesas aprovado em assembleia — cada subcondomínio passou a pagar só o que é seu.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17007 Nações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duas torres + garagem + mall; DF síndica desde 2025): subcondomínio garagem pagava acima das despesas reais; rateio corrigido e diferença redistribuída entre as torres ocupantes.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 Parque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complexo multiuso com torre do Hospital Sírio-Libanês; DF síndica desde 2026): implantação de condomínio multiuso com operação hospitalar e sistemas críticos.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10. Ferramentas de controle da DF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Ferramentas próprias, em operação nos condomínios da DF, que sustentam a fiscalização e os SLAs propostos: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Boletim Diário de Operações: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checklist diário em etapas no celular do gerente predial, com painel de vários condomínios, indicadores, matriz de risco de SLA, registro de ocorrências e relatório executivo.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Triagem diária de demandas: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rotina automática que, todos os dias às 7h30, identifica pedidos e prazos recebidos por e-mail, atualiza o quadro de acompanhamento e envia o resumo do que está em aberto.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Cobrança semanal de documentação: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rotina automática que separa, por condomínio, os documentos a vencer e vencidos e envia a cobrança somente a destinatários confirmados.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Relatórios técnicos: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apuração de incidentes com múltiplos prestadores (análise técnica e jurídica, cronologia, cobertura de apólices e plano de ação) e auditoria e conciliação financeira de contratos de administração predial.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11. Escopo e premissas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Incluído na mensalidade: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equipe titular, substitutos e retaguarda; visitas; deslocamento, estacionamento e alimentação na Grande São Paulo; assembleias ordinárias e extraordinárias; plantão 24x7; todos os entregáveis; pareceres da equipe DF; seguro de RC profissional e geral; tributos.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Somente com autorização prévia do Einstein, orçados à parte: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laudos e perícias de terceiros; escritórios externos e processos judiciais; auditoria independente; custas cartoriais; viagens fora da Grande São Paulo.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Papel da administradora, não da DF: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operação diária, equipes, contas a pagar e receber, elaboração de balancetes e prestação de contas, compras e arquivo físico — processos que a DF analisa, valida e fiscaliza.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12. Próximos passos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 DF permanece à disposição para a fase de equalização e para qualquer esclarecimento adicional.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Kick-off em até 5 dias úteis após a contratação.</w:t>
      </w:r>
    </w:p>
    <w:p>
      <w:pPr>
        <w:keepNext/>
        <w:spacing w:before="480" w:after="0"/>
      </w:pPr>
    </w:p>
    <w:p>
      <w:pPr>
        <w:keepNext/>
        <w:spacing w:after="40"/>
      </w:pPr>
      <w:r>
        <w:rPr>
          <w:rFonts w:ascii="Calibri" w:cs="Calibri" w:eastAsia="Calibri" w:hAnsi="Calibri"/>
          <w:color w:val="5B6470"/>
          <w:sz w:val="21"/>
          <w:szCs w:val="21"/>
        </w:rPr>
        <w:t xml:space="preserve">__________________________________________</w:t>
      </w: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2F4162"/>
          <w:sz w:val="21"/>
          <w:szCs w:val="21"/>
        </w:rPr>
        <w:t xml:space="preserve">Denise Ferreira</w:t>
      </w:r>
    </w:p>
    <w:p>
      <w:pPr>
        <w:spacing w:after="0"/>
      </w:pPr>
      <w:r>
        <w:rPr>
          <w:rFonts w:ascii="Calibri" w:cs="Calibri" w:eastAsia="Calibri" w:hAnsi="Calibri"/>
          <w:color w:val="5B6470"/>
          <w:sz w:val="19"/>
          <w:szCs w:val="19"/>
        </w:rPr>
        <w:t xml:space="preserve">Sócia-diretora — DF Síndicos Profissionais Ltda.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Relatório Executivo — Einstein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