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2382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2AE6D" w:sz="10" w:space="6"/>
        </w:pBdr>
        <w:spacing w:after="26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F4162"/>
          <w:sz w:val="32"/>
          <w:szCs w:val="32"/>
        </w:rPr>
        <w:t xml:space="preserve">RELATÓRIO EXECUTIVO</w:t>
      </w:r>
    </w:p>
    <w:p>
      <w:pPr>
        <w:spacing w:after="8"/>
        <w:jc w:val="center"/>
      </w:pPr>
      <w:r>
        <w:rPr>
          <w:rFonts w:ascii="Calibri" w:cs="Calibri" w:eastAsia="Calibri" w:hAnsi="Calibri"/>
          <w:b/>
          <w:bCs/>
          <w:color w:val="2F4162"/>
          <w:sz w:val="28"/>
          <w:szCs w:val="28"/>
        </w:rPr>
        <w:t xml:space="preserve">DEFESA TÉCNICA — REPRESENTANTE CONDOMINIAL</w:t>
      </w:r>
    </w:p>
    <w:p>
      <w:pPr>
        <w:pBdr>
          <w:bottom w:val="single" w:color="C9CDD3" w:sz="6" w:space="8"/>
        </w:pBd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B6470"/>
          <w:sz w:val="20"/>
          <w:szCs w:val="20"/>
        </w:rPr>
        <w:t xml:space="preserve">Einstein  ·  Parque Global, Pinheiros e Artur de Azevedo  ·  DF Síndicos Profissionais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100"/>
        <w:gridCol w:w="6250"/>
      </w:tblGrid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Cliente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Sociedade Beneficente Israelita Brasileira Albert Einstein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Processo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RFP 2026 – Representante Condominial – Unidades Artur de Azevedo, Pinheiros e Parque Global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Apresentação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13/10/2026 — Microsoft Teams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Proponente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DF Síndicos Profissionais Ltda. — CNPJ 20.330.326/0001-94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Profissional titular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Denise Ferreira — CEO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Data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13/10/2026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1. Síntese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 DF Síndicos Profissionais propõe atuar como subsíndica profissional das três unidades do Einstein — Parque Global, Unidade Hospitalar Pinheiros e Espaço Einstein Artur de Azevedo — representando a Instituição nas instâncias condominiais com independência técnica, análise financeira e de rateio, e governança de voto que não admite manifestação sem autorização prévia e por escrito do Einstein.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Este relatório resume a defesa técnica apresentada em 13/10/2026 e formaliza os compromissos assumidos na reunião, inclusive o alinhamento dos SLAs à referência enviada pelo Einstein em 30/09/2026.</w:t>
      </w:r>
    </w:p>
    <w:p>
      <w:pPr>
        <w:keepNext/>
        <w:spacing w:before="220" w:after="100"/>
      </w:pPr>
      <w:r>
        <w:rPr>
          <w:rFonts w:ascii="Calibri" w:cs="Calibri" w:eastAsia="Calibri" w:hAnsi="Calibri"/>
          <w:b/>
          <w:bCs/>
          <w:color w:val="2F4162"/>
          <w:sz w:val="23"/>
          <w:szCs w:val="23"/>
        </w:rPr>
        <w:t xml:space="preserve">Compromissos centrais: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Titular dedicada (Denise Ferreira) com dois substitutos qualificados e retaguarda financeira, jurídica, de engenharia e de LGPD.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SLAs iguais ou melhores que a referência do Einstein em todos os níveis de criticidade.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Nenhum voto ou manifestação em nome do Einstein sem autorização escrita — inclusive em matérias de rotina.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Metodologia de rateio voltada a identificar e corrigir subsídios cruzados entre setores.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Aceite integral dos seis entregáveis previstos na RFP, com o primeiro relatório executivo em D+30.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2. O que entendemos das três unidades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611"/>
        <w:gridCol w:w="3898"/>
        <w:gridCol w:w="3841"/>
      </w:tblGrid>
      <w:tr>
        <w:trPr>
          <w:cantSplit/>
          <w:tblHeader/>
        </w:trPr>
        <w:tc>
          <w:tcPr>
            <w:tcW w:type="dxa" w:w="161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Unidade</w:t>
            </w:r>
          </w:p>
        </w:tc>
        <w:tc>
          <w:tcPr>
            <w:tcW w:type="dxa" w:w="389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Situação do Einstein</w:t>
            </w:r>
          </w:p>
        </w:tc>
        <w:tc>
          <w:tcPr>
            <w:tcW w:type="dxa" w:w="384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Foco da atuação</w:t>
            </w:r>
          </w:p>
        </w:tc>
      </w:tr>
      <w:tr>
        <w:trPr>
          <w:cantSplit/>
        </w:trPr>
        <w:tc>
          <w:tcPr>
            <w:tcW w:type="dxa" w:w="16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Parque Global</w:t>
            </w:r>
          </w:p>
        </w:tc>
        <w:tc>
          <w:tcPr>
            <w:tcW w:type="dxa" w:w="389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Complexo multiuso, com setores e subcondomínios, despesas comuns e específicas e múltiplos stakeholders</w:t>
            </w:r>
          </w:p>
        </w:tc>
        <w:tc>
          <w:tcPr>
            <w:tcW w:type="dxa" w:w="38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setorial e segregação de despesas</w:t>
            </w:r>
          </w:p>
        </w:tc>
      </w:tr>
      <w:tr>
        <w:trPr>
          <w:cantSplit/>
        </w:trPr>
        <w:tc>
          <w:tcPr>
            <w:tcW w:type="dxa" w:w="16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Unidade Hospitalar Pinheiros</w:t>
            </w:r>
          </w:p>
        </w:tc>
        <w:tc>
          <w:tcPr>
            <w:tcW w:type="dxa" w:w="389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Ocupante majoritário (~95%), com sistemas críticos operados diretamente pelo Einstein; operação a partir de jan/2027</w:t>
            </w:r>
          </w:p>
        </w:tc>
        <w:tc>
          <w:tcPr>
            <w:tcW w:type="dxa" w:w="38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Rateio dos sistemas críticos e acompanhamento da implantação</w:t>
            </w:r>
          </w:p>
        </w:tc>
      </w:tr>
      <w:tr>
        <w:trPr>
          <w:cantSplit/>
        </w:trPr>
        <w:tc>
          <w:tcPr>
            <w:tcW w:type="dxa" w:w="16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Espaço Einstein Artur de Azevedo</w:t>
            </w:r>
          </w:p>
        </w:tc>
        <w:tc>
          <w:tcPr>
            <w:tcW w:type="dxa" w:w="389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Condômino minoritário (~1.400 m²) em edifício de terceiros</w:t>
            </w:r>
          </w:p>
        </w:tc>
        <w:tc>
          <w:tcPr>
            <w:tcW w:type="dxa" w:w="38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Pagar apenas o que lhe cabe e defender as necessidades da operação de saúde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3. O papel da DF: governança, não operação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 DF atua na esfera estratégica, institucional e de representação: representa o Einstein, analisa orçamento, rateio, contratos e contas, fiscaliza a administradora e recomenda posicionamentos. A operação diária, as equipes residentes, as contas a pagar e a receber e a elaboração de balancetes e prestações de contas permanecem com a administradora predial.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Essa separação garante que quem fiscaliza não seja quem executa. A atuação é de subsíndico setorial, nos termos da convenção: não substitui o Síndico Geral e respeita sempre as alçadas definidas pelo Einstein.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4. Equipe e dedicação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5470"/>
        <w:gridCol w:w="3880"/>
      </w:tblGrid>
      <w:tr>
        <w:trPr>
          <w:cantSplit/>
          <w:tblHeader/>
        </w:trPr>
        <w:tc>
          <w:tcPr>
            <w:tcW w:type="dxa" w:w="547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88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Profissional</w:t>
            </w:r>
          </w:p>
        </w:tc>
      </w:tr>
      <w:tr>
        <w:trPr>
          <w:cantSplit/>
        </w:trPr>
        <w:tc>
          <w:tcPr>
            <w:tcW w:type="dxa" w:w="547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Titular — interlocução, assembleias e governança</w:t>
            </w:r>
          </w:p>
        </w:tc>
        <w:tc>
          <w:tcPr>
            <w:tcW w:type="dxa" w:w="388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Ferreira (CEO)</w:t>
            </w:r>
          </w:p>
        </w:tc>
      </w:tr>
      <w:tr>
        <w:trPr>
          <w:cantSplit/>
        </w:trPr>
        <w:tc>
          <w:tcPr>
            <w:tcW w:type="dxa" w:w="547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Substituta — jurídico, contratos e convenção</w:t>
            </w:r>
          </w:p>
        </w:tc>
        <w:tc>
          <w:tcPr>
            <w:tcW w:type="dxa" w:w="388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Amanda Tigre (Sócia Diretora)</w:t>
            </w:r>
          </w:p>
        </w:tc>
      </w:tr>
      <w:tr>
        <w:trPr>
          <w:cantSplit/>
        </w:trPr>
        <w:tc>
          <w:tcPr>
            <w:tcW w:type="dxa" w:w="547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Substituto — engenharia, operação e sistemas críticos</w:t>
            </w:r>
          </w:p>
        </w:tc>
        <w:tc>
          <w:tcPr>
            <w:tcW w:type="dxa" w:w="388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 Gavioli (Diretor de Operações)</w:t>
            </w:r>
          </w:p>
        </w:tc>
      </w:tr>
      <w:tr>
        <w:trPr>
          <w:cantSplit/>
        </w:trPr>
        <w:tc>
          <w:tcPr>
            <w:tcW w:type="dxa" w:w="547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Financeiro — balancetes, orçamento e rateio</w:t>
            </w:r>
          </w:p>
        </w:tc>
        <w:tc>
          <w:tcPr>
            <w:tcW w:type="dxa" w:w="388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Marco Murino (Gerente Financeiro)</w:t>
            </w:r>
          </w:p>
        </w:tc>
      </w:tr>
      <w:tr>
        <w:trPr>
          <w:cantSplit/>
        </w:trPr>
        <w:tc>
          <w:tcPr>
            <w:tcW w:type="dxa" w:w="547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Proteção de dados (LGPD)</w:t>
            </w:r>
          </w:p>
        </w:tc>
        <w:tc>
          <w:tcPr>
            <w:tcW w:type="dxa" w:w="388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Cláudia De Santi (Diretora de LGPD)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265"/>
        <w:gridCol w:w="2365"/>
        <w:gridCol w:w="5720"/>
      </w:tblGrid>
      <w:tr>
        <w:trPr>
          <w:cantSplit/>
          <w:tblHeader/>
        </w:trPr>
        <w:tc>
          <w:tcPr>
            <w:tcW w:type="dxa" w:w="12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Unidade</w:t>
            </w:r>
          </w:p>
        </w:tc>
        <w:tc>
          <w:tcPr>
            <w:tcW w:type="dxa" w:w="23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Dedicação</w:t>
            </w:r>
          </w:p>
        </w:tc>
        <w:tc>
          <w:tcPr>
            <w:tcW w:type="dxa" w:w="572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Presença</w:t>
            </w:r>
          </w:p>
        </w:tc>
      </w:tr>
      <w:tr>
        <w:trPr>
          <w:cantSplit/>
        </w:trPr>
        <w:tc>
          <w:tcPr>
            <w:tcW w:type="dxa" w:w="12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Parque Global</w:t>
            </w:r>
          </w:p>
        </w:tc>
        <w:tc>
          <w:tcPr>
            <w:tcW w:type="dxa" w:w="23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46 h/mês</w:t>
            </w:r>
          </w:p>
        </w:tc>
        <w:tc>
          <w:tcPr>
            <w:tcW w:type="dxa" w:w="57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Visitas semanais de 6 h da titular, visita técnica mensal e todas as assembleias</w:t>
            </w:r>
          </w:p>
        </w:tc>
      </w:tr>
      <w:tr>
        <w:trPr>
          <w:cantSplit/>
        </w:trPr>
        <w:tc>
          <w:tcPr>
            <w:tcW w:type="dxa" w:w="12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Pinheiros</w:t>
            </w:r>
          </w:p>
        </w:tc>
        <w:tc>
          <w:tcPr>
            <w:tcW w:type="dxa" w:w="23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48 h/mês até jun/2027; 28 h/mês depois</w:t>
            </w:r>
          </w:p>
        </w:tc>
        <w:tc>
          <w:tcPr>
            <w:tcW w:type="dxa" w:w="572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Semanal na implantação, quinzenal depois; 2 visitas técnicas/mês na implantação</w:t>
            </w:r>
          </w:p>
        </w:tc>
      </w:tr>
      <w:tr>
        <w:trPr>
          <w:cantSplit/>
        </w:trPr>
        <w:tc>
          <w:tcPr>
            <w:tcW w:type="dxa" w:w="12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Artur de Azevedo</w:t>
            </w:r>
          </w:p>
        </w:tc>
        <w:tc>
          <w:tcPr>
            <w:tcW w:type="dxa" w:w="23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~14 h/mês</w:t>
            </w:r>
          </w:p>
        </w:tc>
        <w:tc>
          <w:tcPr>
            <w:tcW w:type="dxa" w:w="57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Visita mensal, visita técnica trimestral e todas as assembleias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5. SLAs alinhados à referência do Einstein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Os prazos abaixo substituem os da proposta técnica de 01/10/2026 onde forem mais exigentes: a primeira resposta da demanda ordinária passa a ser de 1 dia útil, e a demanda crítica passa a contar com plano de ação em até 4 horas.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475"/>
        <w:gridCol w:w="2678"/>
        <w:gridCol w:w="5197"/>
      </w:tblGrid>
      <w:tr>
        <w:trPr>
          <w:cantSplit/>
          <w:tblHeader/>
        </w:trPr>
        <w:tc>
          <w:tcPr>
            <w:tcW w:type="dxa" w:w="147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Criticidade</w:t>
            </w:r>
          </w:p>
        </w:tc>
        <w:tc>
          <w:tcPr>
            <w:tcW w:type="dxa" w:w="267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Referência Einstein</w:t>
            </w:r>
          </w:p>
        </w:tc>
        <w:tc>
          <w:tcPr>
            <w:tcW w:type="dxa" w:w="519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Compromisso DF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Crítica</w:t>
            </w:r>
          </w:p>
        </w:tc>
        <w:tc>
          <w:tcPr>
            <w:tcW w:type="dxa" w:w="267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h · 4 h ou plano de ação imediato</w:t>
            </w:r>
          </w:p>
        </w:tc>
        <w:tc>
          <w:tcPr>
            <w:tcW w:type="dxa" w:w="51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30 min, por telefone, 24x7 · plano de ação em até 4 h · presença em até 6 h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Urgente</w:t>
            </w:r>
          </w:p>
        </w:tc>
        <w:tc>
          <w:tcPr>
            <w:tcW w:type="dxa" w:w="267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h · 1 dia útil</w:t>
            </w:r>
          </w:p>
        </w:tc>
        <w:tc>
          <w:tcPr>
            <w:tcW w:type="dxa" w:w="51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h úteis, por telefone · 1 dia útil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Ordinária</w:t>
            </w:r>
          </w:p>
        </w:tc>
        <w:tc>
          <w:tcPr>
            <w:tcW w:type="dxa" w:w="267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 · 5 dias úteis</w:t>
            </w:r>
          </w:p>
        </w:tc>
        <w:tc>
          <w:tcPr>
            <w:tcW w:type="dxa" w:w="51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 · 5 dias úteis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Complexa</w:t>
            </w:r>
          </w:p>
        </w:tc>
        <w:tc>
          <w:tcPr>
            <w:tcW w:type="dxa" w:w="267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dias úteis · prazo acordado</w:t>
            </w:r>
          </w:p>
        </w:tc>
        <w:tc>
          <w:tcPr>
            <w:tcW w:type="dxa" w:w="51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útil, com prazo proposto · até 10 dias úteis, com prévia em 5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Pareceres para assembleia: até 3 dias úteis após o edital e, no mínimo, 5 dias úteis antes da assembleia, para que o Einstein cumpra suas alçadas internas.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6. Governança e autorização de votos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685"/>
        <w:gridCol w:w="5407"/>
        <w:gridCol w:w="2258"/>
      </w:tblGrid>
      <w:tr>
        <w:trPr>
          <w:cantSplit/>
          <w:tblHeader/>
        </w:trPr>
        <w:tc>
          <w:tcPr>
            <w:tcW w:type="dxa" w:w="168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540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 que acontece</w:t>
            </w:r>
          </w:p>
        </w:tc>
        <w:tc>
          <w:tcPr>
            <w:tcW w:type="dxa" w:w="225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Prazo</w:t>
            </w:r>
          </w:p>
        </w:tc>
      </w:tr>
      <w:tr>
        <w:trPr>
          <w:cantSplit/>
        </w:trPr>
        <w:tc>
          <w:tcPr>
            <w:tcW w:type="dxa" w:w="16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 Classificação</w:t>
            </w:r>
          </w:p>
        </w:tc>
        <w:tc>
          <w:tcPr>
            <w:tcW w:type="dxa" w:w="540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Pauta classificada em rotina ou estratégica</w:t>
            </w:r>
          </w:p>
        </w:tc>
        <w:tc>
          <w:tcPr>
            <w:tcW w:type="dxa" w:w="225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 após o edital</w:t>
            </w:r>
          </w:p>
        </w:tc>
      </w:tr>
      <w:tr>
        <w:trPr>
          <w:cantSplit/>
        </w:trPr>
        <w:tc>
          <w:tcPr>
            <w:tcW w:type="dxa" w:w="16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2. Análise</w:t>
            </w:r>
          </w:p>
        </w:tc>
        <w:tc>
          <w:tcPr>
            <w:tcW w:type="dxa" w:w="540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Nota (rotina) ou parecer completo (estratégica), com recomendação</w:t>
            </w:r>
          </w:p>
        </w:tc>
        <w:tc>
          <w:tcPr>
            <w:tcW w:type="dxa" w:w="225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dias úteis após o edital</w:t>
            </w:r>
          </w:p>
        </w:tc>
      </w:tr>
      <w:tr>
        <w:trPr>
          <w:cantSplit/>
        </w:trPr>
        <w:tc>
          <w:tcPr>
            <w:tcW w:type="dxa" w:w="16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3. Alinhamento</w:t>
            </w:r>
          </w:p>
        </w:tc>
        <w:tc>
          <w:tcPr>
            <w:tcW w:type="dxa" w:w="540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Reunião ou call com os representantes do Einstein</w:t>
            </w:r>
          </w:p>
        </w:tc>
        <w:tc>
          <w:tcPr>
            <w:tcW w:type="dxa" w:w="225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antes da autorização</w:t>
            </w:r>
          </w:p>
        </w:tc>
      </w:tr>
      <w:tr>
        <w:trPr>
          <w:cantSplit/>
        </w:trPr>
        <w:tc>
          <w:tcPr>
            <w:tcW w:type="dxa" w:w="16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 Autorização</w:t>
            </w:r>
          </w:p>
        </w:tc>
        <w:tc>
          <w:tcPr>
            <w:tcW w:type="dxa" w:w="540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Orientação de voto por escrito, conforme alçadas</w:t>
            </w:r>
          </w:p>
        </w:tc>
        <w:tc>
          <w:tcPr>
            <w:tcW w:type="dxa" w:w="225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antes da assembleia</w:t>
            </w:r>
          </w:p>
        </w:tc>
      </w:tr>
      <w:tr>
        <w:trPr>
          <w:cantSplit/>
        </w:trPr>
        <w:tc>
          <w:tcPr>
            <w:tcW w:type="dxa" w:w="16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 Assembleia</w:t>
            </w:r>
          </w:p>
        </w:tc>
        <w:tc>
          <w:tcPr>
            <w:tcW w:type="dxa" w:w="540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Voto exatamente conforme autorizado</w:t>
            </w:r>
          </w:p>
        </w:tc>
        <w:tc>
          <w:tcPr>
            <w:tcW w:type="dxa" w:w="225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na assembleia</w:t>
            </w:r>
          </w:p>
        </w:tc>
      </w:tr>
      <w:tr>
        <w:trPr>
          <w:cantSplit/>
        </w:trPr>
        <w:tc>
          <w:tcPr>
            <w:tcW w:type="dxa" w:w="16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6. Registro</w:t>
            </w:r>
          </w:p>
        </w:tc>
        <w:tc>
          <w:tcPr>
            <w:tcW w:type="dxa" w:w="540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Deliberações e recomendações registradas</w:t>
            </w:r>
          </w:p>
        </w:tc>
        <w:tc>
          <w:tcPr>
            <w:tcW w:type="dxa" w:w="225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até 5 dias úteis após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Imprevistos em assembleia — tema fora de pauta ou proposta diferente da analisada: a DF não vota em nome do Einstein; abstém-se, pede ressalva em ata ou adiamento e comunica o Einstein no mesmo dia.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7. Metodologia de rateio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Diagnóstico (até D+60):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convenção, especificação, frações, contratos, orçamento e 12 balancetes; entrevistas e visita técnica; matriz de critério por conta com fundamento na convenção; relatório situação atual × situação correta.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Rotina mensal: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revisão do balancete contra orçamento e contratos; conferência das pastas por amostragem; parecer sempre que uma conta variar ±5% do previsto.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Orçamento e eventos: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revisão da matriz na Previsão Orçamentária, simulação do rateio por setor, revisão em novo contrato, obra ou mudança de ocupação, e proposta formal de correção em assembleia.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8. Entregáveis e mobilização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848"/>
        <w:gridCol w:w="3805"/>
        <w:gridCol w:w="1697"/>
      </w:tblGrid>
      <w:tr>
        <w:trPr>
          <w:cantSplit/>
          <w:tblHeader/>
        </w:trPr>
        <w:tc>
          <w:tcPr>
            <w:tcW w:type="dxa" w:w="384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Entregável</w:t>
            </w:r>
          </w:p>
        </w:tc>
        <w:tc>
          <w:tcPr>
            <w:tcW w:type="dxa" w:w="380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Periodicidade</w:t>
            </w:r>
          </w:p>
        </w:tc>
        <w:tc>
          <w:tcPr>
            <w:tcW w:type="dxa" w:w="169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Primeira entrega</w:t>
            </w:r>
          </w:p>
        </w:tc>
      </w:tr>
      <w:tr>
        <w:trPr>
          <w:cantSplit/>
        </w:trPr>
        <w:tc>
          <w:tcPr>
            <w:tcW w:type="dxa" w:w="384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Relatório executivo mensal</w:t>
            </w:r>
          </w:p>
        </w:tc>
        <w:tc>
          <w:tcPr>
            <w:tcW w:type="dxa" w:w="380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Mensal</w:t>
            </w:r>
          </w:p>
        </w:tc>
        <w:tc>
          <w:tcPr>
            <w:tcW w:type="dxa" w:w="16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D+30</w:t>
            </w:r>
          </w:p>
        </w:tc>
      </w:tr>
      <w:tr>
        <w:trPr>
          <w:cantSplit/>
        </w:trPr>
        <w:tc>
          <w:tcPr>
            <w:tcW w:type="dxa" w:w="384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Dashboard orçamentário e de rateio</w:t>
            </w:r>
          </w:p>
        </w:tc>
        <w:tc>
          <w:tcPr>
            <w:tcW w:type="dxa" w:w="380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Relatório gráfico mensal</w:t>
            </w:r>
          </w:p>
        </w:tc>
        <w:tc>
          <w:tcPr>
            <w:tcW w:type="dxa" w:w="16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D+90</w:t>
            </w:r>
          </w:p>
        </w:tc>
      </w:tr>
      <w:tr>
        <w:trPr>
          <w:cantSplit/>
        </w:trPr>
        <w:tc>
          <w:tcPr>
            <w:tcW w:type="dxa" w:w="384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Pareceres técnicos</w:t>
            </w:r>
          </w:p>
        </w:tc>
        <w:tc>
          <w:tcPr>
            <w:tcW w:type="dxa" w:w="380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Sob demanda, nos prazos do item 5</w:t>
            </w:r>
          </w:p>
        </w:tc>
        <w:tc>
          <w:tcPr>
            <w:tcW w:type="dxa" w:w="16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Conforme demanda</w:t>
            </w:r>
          </w:p>
        </w:tc>
      </w:tr>
      <w:tr>
        <w:trPr>
          <w:cantSplit/>
        </w:trPr>
        <w:tc>
          <w:tcPr>
            <w:tcW w:type="dxa" w:w="384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Matriz de riscos e plano de mitigação</w:t>
            </w:r>
          </w:p>
        </w:tc>
        <w:tc>
          <w:tcPr>
            <w:tcW w:type="dxa" w:w="380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Trimestral ou por risco novo relevante</w:t>
            </w:r>
          </w:p>
        </w:tc>
        <w:tc>
          <w:tcPr>
            <w:tcW w:type="dxa" w:w="16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D+60</w:t>
            </w:r>
          </w:p>
        </w:tc>
      </w:tr>
      <w:tr>
        <w:trPr>
          <w:cantSplit/>
        </w:trPr>
        <w:tc>
          <w:tcPr>
            <w:tcW w:type="dxa" w:w="384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Registro de deliberações de assembleia</w:t>
            </w:r>
          </w:p>
        </w:tc>
        <w:tc>
          <w:tcPr>
            <w:tcW w:type="dxa" w:w="380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Até 5 dias úteis após cada assembleia</w:t>
            </w:r>
          </w:p>
        </w:tc>
        <w:tc>
          <w:tcPr>
            <w:tcW w:type="dxa" w:w="16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Primeira assembleia</w:t>
            </w:r>
          </w:p>
        </w:tc>
      </w:tr>
      <w:tr>
        <w:trPr>
          <w:cantSplit/>
        </w:trPr>
        <w:tc>
          <w:tcPr>
            <w:tcW w:type="dxa" w:w="384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Plano de ação</w:t>
            </w:r>
          </w:p>
        </w:tc>
        <w:tc>
          <w:tcPr>
            <w:tcW w:type="dxa" w:w="380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Acompanhamento mensal</w:t>
            </w:r>
          </w:p>
        </w:tc>
        <w:tc>
          <w:tcPr>
            <w:tcW w:type="dxa" w:w="16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D+60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Mobilização: kick-off na semana 1, apresentação aos interlocutores e pedido de documentos nas semanas 1 e 2, imersão nas semanas 2 a 4, diagnóstico até D+60 e operação plena a partir de D+90. A Previsão Orçamentária 2027, se ainda não aprovada, será revisada com prioridade.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9. Experiência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SPHQ I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(São Paulo, condomínio geral + três subcondomínios; DF síndica desde 2014): rateio único por fração ideal substituído por um Coeficiente de Rateio de Despesas aprovado em assembleia — cada subcondomínio passou a pagar só o que é seu.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17007 Nações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(São Paulo, duas torres + garagem + mall; DF síndica desde 2025): subcondomínio garagem pagava acima das despesas reais; rateio corrigido e diferença redistribuída entre as torres ocupantes.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 Parque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(São Paulo, complexo multiuso com torre do Hospital Sírio-Libanês; DF síndica desde 2026): implantação de condomínio multiuso com operação hospitalar e sistemas críticos.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10. Ferramentas de controle da DF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Ferramentas próprias da DF que sustentam a fiscalização e os SLAs propostos: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Boletim Diário de Operações: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checklist diário em etapas no celular do gerente predial, com painel de vários condomínios, indicadores, matriz de risco de SLA, registro de ocorrências e relatório executivo.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Triagem diária de demandas: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rotina automática que, todos os dias às 7h30, identifica pedidos e prazos recebidos por e-mail, atualiza o quadro de acompanhamento e envia o resumo do que está em aberto.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Cobrança semanal de documentação: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rotina automática que separa, por condomínio, os documentos a vencer e vencidos e envia a cobrança somente a destinatários confirmados.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Relatórios técnicos: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apuração de incidentes com múltiplos prestadores (análise técnica e jurídica, cronologia, cobertura de apólices e plano de ação) e auditoria e conciliação financeira de contratos de administração predial.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11. Escopo e premissas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Incluído na mensalidade: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equipe titular, substitutos e retaguarda; visitas; deslocamento, estacionamento e alimentação na Grande São Paulo; assembleias ordinárias e extraordinárias; plantão 24x7; todos os entregáveis; pareceres da equipe DF; seguro de RC profissional e geral; tributos.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Somente com autorização prévia do Einstein, orçados à parte: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laudos e perícias de terceiros; escritórios externos e processos judiciais; auditoria independente; custas cartoriais; viagens fora da Grande São Paulo.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Papel da administradora, não da DF: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operação diária, equipes, contas a pagar e receber, elaboração de balancetes e prestação de contas, compras e arquivo físico — processos que a DF analisa, valida e fiscaliza.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12. Próximos passos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 DF permanece à disposição para a fase de equalização e para qualquer esclarecimento adicional.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Kick-off em até 5 dias úteis após a contratação.</w:t>
      </w:r>
    </w:p>
    <w:p>
      <w:pPr>
        <w:keepNext/>
        <w:spacing w:before="480" w:after="0"/>
      </w:pPr>
    </w:p>
    <w:p>
      <w:pPr>
        <w:keepNext/>
        <w:spacing w:after="40"/>
      </w:pPr>
      <w:r>
        <w:rPr>
          <w:rFonts w:ascii="Calibri" w:cs="Calibri" w:eastAsia="Calibri" w:hAnsi="Calibri"/>
          <w:color w:val="5B6470"/>
          <w:sz w:val="21"/>
          <w:szCs w:val="21"/>
        </w:rPr>
        <w:t xml:space="preserve">__________________________________________</w:t>
      </w:r>
    </w:p>
    <w:p>
      <w:pPr>
        <w:keepNext/>
        <w:spacing w:after="0"/>
      </w:pPr>
      <w:r>
        <w:rPr>
          <w:rFonts w:ascii="Calibri" w:cs="Calibri" w:eastAsia="Calibri" w:hAnsi="Calibri"/>
          <w:b/>
          <w:bCs/>
          <w:color w:val="2F4162"/>
          <w:sz w:val="21"/>
          <w:szCs w:val="21"/>
        </w:rPr>
        <w:t xml:space="preserve">Denise Ferreira</w:t>
      </w:r>
    </w:p>
    <w:p>
      <w:pPr>
        <w:spacing w:after="0"/>
      </w:pPr>
      <w:r>
        <w:rPr>
          <w:rFonts w:ascii="Calibri" w:cs="Calibri" w:eastAsia="Calibri" w:hAnsi="Calibri"/>
          <w:color w:val="5B6470"/>
          <w:sz w:val="19"/>
          <w:szCs w:val="19"/>
        </w:rPr>
        <w:t xml:space="preserve">Sócia-diretora — DF Síndicos Profissionais Ltda.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AE6D" w:sz="8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2F4162"/>
        <w:sz w:val="15"/>
        <w:szCs w:val="15"/>
      </w:rPr>
      <w:t xml:space="preserve">DF SÍNDICOS PROFISSIONAIS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  ·  Relatório Executivo — Einstein  —  Confidencial  ·  www.dfsindicos.com.br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	Página 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9e9fce57de8da4069c1d127bbcf0e1730e56717.png"/><Relationship Id="rId2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2026-09-22T00:55:28.154Z</dcterms:created>
  <dcterms:modified xsi:type="dcterms:W3CDTF">2026-09-22T00:55:28.160Z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