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695325"/>
                    </a:xfrm>
                    <a:prstGeom prst="rect">
                      <a:avLst/>
                    </a:prstGeom>
                  </pic:spPr>
                </pic:pic>
              </a:graphicData>
            </a:graphic>
          </wp:inline>
        </w:drawing>
      </w:r>
    </w:p>
    <w:p>
      <w:pPr>
        <w:pBdr>
          <w:bottom w:val="single" w:color="D2AE6D" w:sz="10" w:space="6"/>
        </w:pBdr>
        <w:spacing w:after="260"/>
      </w:pPr>
    </w:p>
    <w:p>
      <w:pPr>
        <w:spacing w:after="40"/>
        <w:jc w:val="center"/>
      </w:pPr>
      <w:r>
        <w:rPr>
          <w:rFonts w:ascii="Calibri" w:cs="Calibri" w:eastAsia="Calibri" w:hAnsi="Calibri"/>
          <w:b/>
          <w:bCs/>
          <w:color w:val="2F4162"/>
          <w:sz w:val="32"/>
          <w:szCs w:val="32"/>
        </w:rPr>
        <w:t xml:space="preserve">PROPOSTA TÉCNICA</w:t>
      </w:r>
    </w:p>
    <w:p>
      <w:pPr>
        <w:spacing w:after="8"/>
        <w:jc w:val="center"/>
      </w:pPr>
      <w:r>
        <w:rPr>
          <w:rFonts w:ascii="Calibri" w:cs="Calibri" w:eastAsia="Calibri" w:hAnsi="Calibri"/>
          <w:b/>
          <w:bCs/>
          <w:color w:val="2F4162"/>
          <w:sz w:val="28"/>
          <w:szCs w:val="28"/>
        </w:rPr>
        <w:t xml:space="preserve">REPRESENTANTE CONDOMINIAL — SUBSÍNDICO PROFISSIONAL</w:t>
      </w:r>
    </w:p>
    <w:p>
      <w:pPr>
        <w:pBdr>
          <w:bottom w:val="single" w:color="C9CDD3" w:sz="6" w:space="8"/>
        </w:pBdr>
        <w:spacing w:after="260" w:before="100"/>
        <w:jc w:val="center"/>
      </w:pPr>
      <w:r>
        <w:rPr>
          <w:rFonts w:ascii="Calibri" w:cs="Calibri" w:eastAsia="Calibri" w:hAnsi="Calibri"/>
          <w:i/>
          <w:iCs/>
          <w:color w:val="5B6470"/>
          <w:sz w:val="20"/>
          <w:szCs w:val="20"/>
        </w:rPr>
        <w:t xml:space="preserve">Einstein  ·  Artur de Azevedo  ·  DF Síndicos Profissionais — Gestão Condominial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3100"/>
        <w:gridCol w:w="6250"/>
      </w:tblGrid>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Cliente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Sociedade Beneficente Israelita Brasileira Albert Einstein</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Processo</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RFP 2026 – Representante Condominial – Unidades Artur de Azevedo, Pinheiros e Parque Global</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Unidade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Espaço Einstein Bem-Estar &amp; Saúde Mental (Artur de Azevedo)</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Endereço</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Rua Artur de Azevedo, 411 – Pinheiros, São Paulo/SP</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Proponente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DF Síndicos Profissionais Ltda. — CNPJ 20.330.326/0001-94</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Profissional titular</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Denise Ferreira — CEO</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Substitutos</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Amanda Tigre — Sócia Diretora · Caio Gavioli — Diretor de Operações</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Data</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01/10/2026</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Versão</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Revisada, conforme solicitação do Einstein de 29/09/2026</w:t>
            </w:r>
          </w:p>
        </w:tc>
      </w:tr>
    </w:tbl>
    <w:p>
      <w:r>
        <w:br w:type="page"/>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Apresentação</w:t>
      </w:r>
    </w:p>
    <w:p>
      <w:pPr>
        <w:spacing w:after="150" w:line="300"/>
        <w:jc w:val="both"/>
      </w:pPr>
      <w:r>
        <w:rPr>
          <w:rFonts w:ascii="Calibri" w:cs="Calibri" w:eastAsia="Calibri" w:hAnsi="Calibri"/>
          <w:color w:val="1F2A37"/>
          <w:sz w:val="21"/>
          <w:szCs w:val="21"/>
        </w:rPr>
        <w:t xml:space="preserve">A DF Síndicos Profissionais nasceu da trajetória de sua fundadora, síndica profissional desde 2000, e atua na sindicância profissional de empreendimentos corporativos, multiuso e logísticos em São Paulo e no Rio de Janeiro. Hoje tem </w:t>
      </w:r>
      <w:r>
        <w:rPr>
          <w:rFonts w:ascii="Calibri" w:cs="Calibri" w:eastAsia="Calibri" w:hAnsi="Calibri"/>
          <w:b/>
          <w:bCs/>
          <w:color w:val="1F2A37"/>
          <w:sz w:val="21"/>
          <w:szCs w:val="21"/>
        </w:rPr>
        <w:t xml:space="preserve">mais de 40 condomínios sob sua gestão</w:t>
      </w:r>
      <w:r>
        <w:rPr>
          <w:rFonts w:ascii="Calibri" w:cs="Calibri" w:eastAsia="Calibri" w:hAnsi="Calibri"/>
          <w:color w:val="1F2A37"/>
          <w:sz w:val="21"/>
          <w:szCs w:val="21"/>
        </w:rPr>
        <w:t xml:space="preserve">, que somam </w:t>
      </w:r>
      <w:r>
        <w:rPr>
          <w:rFonts w:ascii="Calibri" w:cs="Calibri" w:eastAsia="Calibri" w:hAnsi="Calibri"/>
          <w:b/>
          <w:bCs/>
          <w:color w:val="1F2A37"/>
          <w:sz w:val="21"/>
          <w:szCs w:val="21"/>
        </w:rPr>
        <w:t xml:space="preserve">mais de 2 milhões de m² de área locável</w:t>
      </w:r>
      <w:r>
        <w:rPr>
          <w:rFonts w:ascii="Calibri" w:cs="Calibri" w:eastAsia="Calibri" w:hAnsi="Calibri"/>
          <w:color w:val="1F2A37"/>
          <w:sz w:val="21"/>
          <w:szCs w:val="21"/>
        </w:rPr>
        <w:t xml:space="preserve">, </w:t>
      </w:r>
      <w:r>
        <w:rPr>
          <w:rFonts w:ascii="Calibri" w:cs="Calibri" w:eastAsia="Calibri" w:hAnsi="Calibri"/>
          <w:b/>
          <w:bCs/>
          <w:color w:val="1F2A37"/>
          <w:sz w:val="21"/>
          <w:szCs w:val="21"/>
        </w:rPr>
        <w:t xml:space="preserve">mais de R$ 24 milhões mensais de OPEX</w:t>
      </w:r>
      <w:r>
        <w:rPr>
          <w:rFonts w:ascii="Calibri" w:cs="Calibri" w:eastAsia="Calibri" w:hAnsi="Calibri"/>
          <w:color w:val="1F2A37"/>
          <w:sz w:val="21"/>
          <w:szCs w:val="21"/>
        </w:rPr>
        <w:t xml:space="preserve"> e </w:t>
      </w:r>
      <w:r>
        <w:rPr>
          <w:rFonts w:ascii="Calibri" w:cs="Calibri" w:eastAsia="Calibri" w:hAnsi="Calibri"/>
          <w:b/>
          <w:bCs/>
          <w:color w:val="1F2A37"/>
          <w:sz w:val="21"/>
          <w:szCs w:val="21"/>
        </w:rPr>
        <w:t xml:space="preserve">mais de R$ 35 milhões em CAPEX por ano</w:t>
      </w:r>
      <w:r>
        <w:rPr>
          <w:rFonts w:ascii="Calibri" w:cs="Calibri" w:eastAsia="Calibri" w:hAnsi="Calibri"/>
          <w:color w:val="1F2A37"/>
          <w:sz w:val="21"/>
          <w:szCs w:val="21"/>
        </w:rPr>
        <w:t xml:space="preserve">.</w:t>
      </w:r>
    </w:p>
    <w:p>
      <w:pPr>
        <w:spacing w:after="150" w:line="300"/>
        <w:jc w:val="both"/>
      </w:pPr>
      <w:r>
        <w:rPr>
          <w:rFonts w:ascii="Calibri" w:cs="Calibri" w:eastAsia="Calibri" w:hAnsi="Calibri"/>
          <w:color w:val="1F2A37"/>
          <w:sz w:val="21"/>
          <w:szCs w:val="21"/>
        </w:rPr>
        <w:t xml:space="preserve">No Espaço Einstein Bem-Estar &amp; Saúde Mental, o Einstein ocupa cerca de 1.400 m² no térreo e no 1º pavimento de um edifício de terceiros. A atuação é focada em assegurar que a unidade arque apenas com as despesas que lhe cabem e que as necessidades específicas da operação de saúde sejam respeitadas.</w:t>
      </w:r>
    </w:p>
    <w:p>
      <w:pPr>
        <w:spacing w:after="150" w:line="300"/>
        <w:jc w:val="both"/>
      </w:pPr>
      <w:r>
        <w:rPr>
          <w:rFonts w:ascii="Calibri" w:cs="Calibri" w:eastAsia="Calibri" w:hAnsi="Calibri"/>
          <w:color w:val="1F2A37"/>
          <w:sz w:val="21"/>
          <w:szCs w:val="21"/>
        </w:rPr>
        <w:t xml:space="preserve">Esta proposta responde, na ordem, aos 12 pontos solicitados pelo Einstein em 29/09/2026.</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 Profissional titular e substitutos</w:t>
      </w:r>
    </w:p>
    <w:p>
      <w:pPr>
        <w:keepNext/>
        <w:spacing w:before="220" w:after="100"/>
      </w:pPr>
      <w:r>
        <w:rPr>
          <w:rFonts w:ascii="Calibri" w:cs="Calibri" w:eastAsia="Calibri" w:hAnsi="Calibri"/>
          <w:b/>
          <w:bCs/>
          <w:color w:val="2F4162"/>
          <w:sz w:val="23"/>
          <w:szCs w:val="23"/>
        </w:rPr>
        <w:t xml:space="preserve">Denise Ferreira — Titular (CEO)</w:t>
      </w:r>
    </w:p>
    <w:p>
      <w:pPr>
        <w:spacing w:after="150" w:line="300"/>
        <w:jc w:val="both"/>
      </w:pPr>
      <w:r>
        <w:rPr>
          <w:rFonts w:ascii="Calibri" w:cs="Calibri" w:eastAsia="Calibri" w:hAnsi="Calibri"/>
          <w:color w:val="1F2A37"/>
          <w:sz w:val="21"/>
          <w:szCs w:val="21"/>
        </w:rPr>
        <w:t xml:space="preserve">Fundadora e CEO da DF Síndicos Profissionais. Advogada, pós-graduada em Direito Imobiliário pela PUC-SP, atua como síndica profissional desde 2000, com carreira consolidada na gestão de empreendimentos corporativos e logísticos em São Paulo e no Rio de Janeiro. Antes de fundar a DF, foi por 16 anos responsável pela divisão imobiliária do Grupo Hindiana (family office de acionistas do Itaú), o que lhe dá leitura dos dois lados da mesa: condôminos e investidores. Reconhecida pelo domínio da legislação condominial e pela atuação pautada em transparência, ética e busca de soluções que equilibram os interesses das partes.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interlocutora oficial do Einstein, representação nas assembleias e condução do fluxo de alinhamento e autorização de votos.</w:t>
      </w:r>
    </w:p>
    <w:p>
      <w:pPr>
        <w:keepNext/>
        <w:spacing w:before="220" w:after="100"/>
      </w:pPr>
      <w:r>
        <w:rPr>
          <w:rFonts w:ascii="Calibri" w:cs="Calibri" w:eastAsia="Calibri" w:hAnsi="Calibri"/>
          <w:b/>
          <w:bCs/>
          <w:color w:val="2F4162"/>
          <w:sz w:val="23"/>
          <w:szCs w:val="23"/>
        </w:rPr>
        <w:t xml:space="preserve">Amanda Tigre — Substituta: jurídico e contratos (Sócia Diretora)</w:t>
      </w:r>
    </w:p>
    <w:p>
      <w:pPr>
        <w:spacing w:after="150" w:line="300"/>
        <w:jc w:val="both"/>
      </w:pPr>
      <w:r>
        <w:rPr>
          <w:rFonts w:ascii="Calibri" w:cs="Calibri" w:eastAsia="Calibri" w:hAnsi="Calibri"/>
          <w:color w:val="1F2A37"/>
          <w:sz w:val="21"/>
          <w:szCs w:val="21"/>
        </w:rPr>
        <w:t xml:space="preserve">Sócia Diretora da DF Síndicos Profissionais. Advogada, pós-graduada em Direito Imobiliário pela PUC-SP, com ampla experiência em negociação, análise e acompanhamento de contratos da área imobiliária e de facilities. Atuou em escritórios das áreas cível e imobiliária e foi advogada sênior em multinacional, responsável pelos contratos de facilities e por pareceres imobiliários. Combina visão jurídica e administrativa da gestão condominial, com foco em conformidade legal e segurança para condôminos e gestores.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substitui a titular em assembleias e reuniões; responde por pareceres jurídicos, análise e renegociação de contratos de fornecedores e interpretação da convenção.</w:t>
      </w:r>
    </w:p>
    <w:p>
      <w:pPr>
        <w:keepNext/>
        <w:spacing w:before="220" w:after="100"/>
      </w:pPr>
      <w:r>
        <w:rPr>
          <w:rFonts w:ascii="Calibri" w:cs="Calibri" w:eastAsia="Calibri" w:hAnsi="Calibri"/>
          <w:b/>
          <w:bCs/>
          <w:color w:val="2F4162"/>
          <w:sz w:val="23"/>
          <w:szCs w:val="23"/>
        </w:rPr>
        <w:t xml:space="preserve">Caio Gavioli — Substituto: técnico, operação e infraestrutura (Diretor de Operações)</w:t>
      </w:r>
    </w:p>
    <w:p>
      <w:pPr>
        <w:spacing w:after="150" w:line="300"/>
        <w:jc w:val="both"/>
      </w:pPr>
      <w:r>
        <w:rPr>
          <w:rFonts w:ascii="Calibri" w:cs="Calibri" w:eastAsia="Calibri" w:hAnsi="Calibri"/>
          <w:color w:val="1F2A37"/>
          <w:sz w:val="21"/>
          <w:szCs w:val="21"/>
        </w:rPr>
        <w:t xml:space="preserve">Diretor de Operações da DF Síndicos Profissionais. Engenheiro eletricista pela Universidade Mackenzie e pós-graduado em Engenharia de Segurança do Trabalho pelas Faculdades Oswaldo Cruz, com mais de 10 anos em gestão operacional e administração de condomínios, desenvolvidos em grandes multinacionais de property management. Atua com foco em otimização de processos, liderança de equipes e relacionamento com clientes e fornecedores.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substitui a titular no acompanhamento operacional; responde pela avaliação técnica dos sistemas prediais críticos (energia, geradores, climatização, elevadores, SDAI), contratos de manutenção e rateio dos custos de infraestrutura.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2. Carga horária e frequência presencial nesta unidade</w:t>
      </w:r>
    </w:p>
    <w:p>
      <w:pPr>
        <w:spacing w:after="150" w:line="300"/>
        <w:jc w:val="both"/>
      </w:pPr>
      <w:r>
        <w:rPr>
          <w:rFonts w:ascii="Calibri" w:cs="Calibri" w:eastAsia="Calibri" w:hAnsi="Calibri"/>
          <w:color w:val="1F2A37"/>
          <w:sz w:val="21"/>
          <w:szCs w:val="21"/>
        </w:rPr>
        <w:t xml:space="preserve">Visita presencial mensal da titular (6 horas), visita técnica trimestral do Diretor de Operações e presença em todas as assembleias.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6159"/>
        <w:gridCol w:w="1925"/>
        <w:gridCol w:w="1266"/>
      </w:tblGrid>
      <w:tr>
        <w:trPr>
          <w:cantSplit/>
          <w:tblHeader/>
        </w:trPr>
        <w:tc>
          <w:tcPr>
            <w:tcW w:type="dxa" w:w="615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Atividade</w:t>
            </w:r>
          </w:p>
        </w:tc>
        <w:tc>
          <w:tcPr>
            <w:tcW w:type="dxa" w:w="19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Responsável</w:t>
            </w:r>
          </w:p>
        </w:tc>
        <w:tc>
          <w:tcPr>
            <w:tcW w:type="dxa" w:w="126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Horas/mês</w:t>
            </w:r>
          </w:p>
        </w:tc>
      </w:tr>
      <w:tr>
        <w:trPr>
          <w:cantSplit/>
        </w:trPr>
        <w:tc>
          <w:tcPr>
            <w:tcW w:type="dxa" w:w="615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Visita presencial mensal (1 × 6 h)</w:t>
            </w:r>
          </w:p>
        </w:tc>
        <w:tc>
          <w:tcPr>
            <w:tcW w:type="dxa" w:w="19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(titular)</w:t>
            </w:r>
          </w:p>
        </w:tc>
        <w:tc>
          <w:tcPr>
            <w:tcW w:type="dxa" w:w="126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 h</w:t>
            </w:r>
          </w:p>
        </w:tc>
      </w:tr>
      <w:tr>
        <w:trPr>
          <w:cantSplit/>
        </w:trPr>
        <w:tc>
          <w:tcPr>
            <w:tcW w:type="dxa" w:w="615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Atuação remota: análise de balancetes e rateio, relatórios, pareceres, preparação de assembleias, alinhamento com o Einstein</w:t>
            </w:r>
          </w:p>
        </w:tc>
        <w:tc>
          <w:tcPr>
            <w:tcW w:type="dxa" w:w="19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(titular)</w:t>
            </w:r>
          </w:p>
        </w:tc>
        <w:tc>
          <w:tcPr>
            <w:tcW w:type="dxa" w:w="126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 h</w:t>
            </w:r>
          </w:p>
        </w:tc>
      </w:tr>
      <w:tr>
        <w:trPr>
          <w:cantSplit/>
        </w:trPr>
        <w:tc>
          <w:tcPr>
            <w:tcW w:type="dxa" w:w="615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Visita técnica trimestral (6 h a cada trimestre)</w:t>
            </w:r>
          </w:p>
        </w:tc>
        <w:tc>
          <w:tcPr>
            <w:tcW w:type="dxa" w:w="19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Caio Gavioli</w:t>
            </w:r>
          </w:p>
        </w:tc>
        <w:tc>
          <w:tcPr>
            <w:tcW w:type="dxa" w:w="126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 h</w:t>
            </w:r>
          </w:p>
        </w:tc>
      </w:tr>
      <w:tr>
        <w:trPr>
          <w:cantSplit/>
        </w:trPr>
        <w:tc>
          <w:tcPr>
            <w:tcW w:type="dxa" w:w="6159"/>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Total dedicado</w:t>
            </w:r>
          </w:p>
        </w:tc>
        <w:tc>
          <w:tcPr>
            <w:tcW w:type="dxa" w:w="1925"/>
            <w:shd w:fill="F5F5F5" w:val="clear"/>
            <w:tcMar>
              <w:top w:type="dxa" w:w="90"/>
              <w:left w:type="dxa" w:w="140"/>
              <w:bottom w:type="dxa" w:w="90"/>
              <w:right w:type="dxa" w:w="140"/>
            </w:tcMar>
            <w:vAlign w:val="center"/>
          </w:tcPr>
          <w:p>
            <w:pPr>
              <w:spacing w:after="0" w:line="260"/>
            </w:pPr>
          </w:p>
        </w:tc>
        <w:tc>
          <w:tcPr>
            <w:tcW w:type="dxa" w:w="1266"/>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~14 h/mês</w:t>
            </w:r>
          </w:p>
        </w:tc>
      </w:tr>
    </w:tbl>
    <w:p>
      <w:pPr>
        <w:spacing w:after="120"/>
      </w:pPr>
    </w:p>
    <w:p>
      <w:pPr>
        <w:spacing w:after="150" w:line="300"/>
        <w:jc w:val="both"/>
      </w:pPr>
      <w:r>
        <w:rPr>
          <w:rFonts w:ascii="Calibri" w:cs="Calibri" w:eastAsia="Calibri" w:hAnsi="Calibri"/>
          <w:color w:val="1F2A37"/>
          <w:sz w:val="21"/>
          <w:szCs w:val="21"/>
        </w:rPr>
        <w:t xml:space="preserve">Além das horas acima, estão cobertos: participação em assembleias ordinárias e extraordinárias, reunião mensal de acompanhamento com o Einstein e plantão 24x7 para ocorrências críticas. Presença adicional fora da rotina é atendida conforme os SLAs do item 3.</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3. SLAs de atendimento por criticidade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996"/>
        <w:gridCol w:w="1475"/>
        <w:gridCol w:w="1160"/>
        <w:gridCol w:w="3719"/>
      </w:tblGrid>
      <w:tr>
        <w:trPr>
          <w:cantSplit/>
          <w:tblHeader/>
        </w:trPr>
        <w:tc>
          <w:tcPr>
            <w:tcW w:type="dxa" w:w="299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Nível</w:t>
            </w:r>
          </w:p>
        </w:tc>
        <w:tc>
          <w:tcPr>
            <w:tcW w:type="dxa" w:w="147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Canal</w:t>
            </w:r>
          </w:p>
        </w:tc>
        <w:tc>
          <w:tcPr>
            <w:tcW w:type="dxa" w:w="116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Primeira resposta</w:t>
            </w:r>
          </w:p>
        </w:tc>
        <w:tc>
          <w:tcPr>
            <w:tcW w:type="dxa" w:w="371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Presença / posicionamento</w:t>
            </w:r>
          </w:p>
        </w:tc>
      </w:tr>
      <w:tr>
        <w:trPr>
          <w:cantSplit/>
        </w:trPr>
        <w:tc>
          <w:tcPr>
            <w:tcW w:type="dxa" w:w="2996"/>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Crítica</w:t>
            </w:r>
            <w:r>
              <w:rPr>
                <w:rFonts w:ascii="Calibri" w:cs="Calibri" w:eastAsia="Calibri" w:hAnsi="Calibri"/>
                <w:color w:val="1F2A37"/>
                <w:sz w:val="18"/>
                <w:szCs w:val="18"/>
              </w:rPr>
              <w:t xml:space="preserve"> — ocorrência com impacto na operação hospitalar</w:t>
            </w:r>
          </w:p>
        </w:tc>
        <w:tc>
          <w:tcPr>
            <w:tcW w:type="dxa" w:w="14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Telefonema, 24x7</w:t>
            </w:r>
          </w:p>
        </w:tc>
        <w:tc>
          <w:tcPr>
            <w:tcW w:type="dxa" w:w="116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30 minutos</w:t>
            </w:r>
          </w:p>
        </w:tc>
        <w:tc>
          <w:tcPr>
            <w:tcW w:type="dxa" w:w="37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presença em até 6 horas, se necessário</w:t>
            </w:r>
          </w:p>
        </w:tc>
      </w:tr>
      <w:tr>
        <w:trPr>
          <w:cantSplit/>
        </w:trPr>
        <w:tc>
          <w:tcPr>
            <w:tcW w:type="dxa" w:w="2996"/>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Urgente</w:t>
            </w:r>
            <w:r>
              <w:rPr>
                <w:rFonts w:ascii="Calibri" w:cs="Calibri" w:eastAsia="Calibri" w:hAnsi="Calibri"/>
                <w:color w:val="1F2A37"/>
                <w:sz w:val="18"/>
                <w:szCs w:val="18"/>
              </w:rPr>
              <w:t xml:space="preserve"> — risco relevante de custo ou prazo</w:t>
            </w:r>
          </w:p>
        </w:tc>
        <w:tc>
          <w:tcPr>
            <w:tcW w:type="dxa" w:w="14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Telefonema</w:t>
            </w:r>
          </w:p>
        </w:tc>
        <w:tc>
          <w:tcPr>
            <w:tcW w:type="dxa" w:w="116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horas úteis</w:t>
            </w:r>
          </w:p>
        </w:tc>
        <w:tc>
          <w:tcPr>
            <w:tcW w:type="dxa" w:w="37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posicionamento em até 24 horas; presença em até 6 horas, se necessário</w:t>
            </w:r>
          </w:p>
        </w:tc>
      </w:tr>
      <w:tr>
        <w:trPr>
          <w:cantSplit/>
        </w:trPr>
        <w:tc>
          <w:tcPr>
            <w:tcW w:type="dxa" w:w="2996"/>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Ordinária e pareceres</w:t>
            </w:r>
            <w:r>
              <w:rPr>
                <w:rFonts w:ascii="Calibri" w:cs="Calibri" w:eastAsia="Calibri" w:hAnsi="Calibri"/>
                <w:color w:val="1F2A37"/>
                <w:sz w:val="18"/>
                <w:szCs w:val="18"/>
              </w:rPr>
              <w:t xml:space="preserve"> — rotina e análises técnicas</w:t>
            </w:r>
          </w:p>
        </w:tc>
        <w:tc>
          <w:tcPr>
            <w:tcW w:type="dxa" w:w="14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E-mail / canal oficial do Einstein</w:t>
            </w:r>
          </w:p>
        </w:tc>
        <w:tc>
          <w:tcPr>
            <w:tcW w:type="dxa" w:w="116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dias úteis</w:t>
            </w:r>
          </w:p>
        </w:tc>
        <w:tc>
          <w:tcPr>
            <w:tcW w:type="dxa" w:w="37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presença fora da rotina em até 3 dias úteis; pareceres conforme item 4 (padrão: 5 dias úteis)</w:t>
            </w:r>
          </w:p>
        </w:tc>
      </w:tr>
    </w:tbl>
    <w:p>
      <w:pPr>
        <w:spacing w:after="120"/>
      </w:pPr>
    </w:p>
    <w:p>
      <w:pPr>
        <w:spacing w:after="150" w:line="300"/>
        <w:jc w:val="both"/>
      </w:pPr>
      <w:r>
        <w:rPr>
          <w:rFonts w:ascii="Calibri" w:cs="Calibri" w:eastAsia="Calibri" w:hAnsi="Calibri"/>
          <w:b/>
          <w:bCs/>
          <w:color w:val="1F2A37"/>
          <w:sz w:val="21"/>
          <w:szCs w:val="21"/>
        </w:rPr>
        <w:t xml:space="preserve">Plantão 24x7:</w:t>
      </w:r>
      <w:r>
        <w:rPr>
          <w:rFonts w:ascii="Calibri" w:cs="Calibri" w:eastAsia="Calibri" w:hAnsi="Calibri"/>
          <w:color w:val="1F2A37"/>
          <w:sz w:val="21"/>
          <w:szCs w:val="21"/>
        </w:rPr>
        <w:t xml:space="preserve"> sequência de acionamento Denise Ferreira → Amanda Tigre → Caio Gavioli → prepostos da DF.</w:t>
      </w:r>
    </w:p>
    <w:p>
      <w:pPr>
        <w:spacing w:after="150" w:line="300"/>
        <w:jc w:val="both"/>
      </w:pPr>
      <w:r>
        <w:rPr>
          <w:rFonts w:ascii="Calibri" w:cs="Calibri" w:eastAsia="Calibri" w:hAnsi="Calibri"/>
          <w:b/>
          <w:bCs/>
          <w:color w:val="1F2A37"/>
          <w:sz w:val="21"/>
          <w:szCs w:val="21"/>
        </w:rPr>
        <w:t xml:space="preserve">Horário comercial:</w:t>
      </w:r>
      <w:r>
        <w:rPr>
          <w:rFonts w:ascii="Calibri" w:cs="Calibri" w:eastAsia="Calibri" w:hAnsi="Calibri"/>
          <w:color w:val="1F2A37"/>
          <w:sz w:val="21"/>
          <w:szCs w:val="21"/>
        </w:rPr>
        <w:t xml:space="preserve"> segunda a sexta, das 8h às 18h.</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4. Prazos de emissão de pareceres técnicos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370"/>
        <w:gridCol w:w="4305"/>
        <w:gridCol w:w="3675"/>
      </w:tblGrid>
      <w:tr>
        <w:trPr>
          <w:cantSplit/>
          <w:tblHeader/>
        </w:trPr>
        <w:tc>
          <w:tcPr>
            <w:tcW w:type="dxa" w:w="137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Tipo de parecer</w:t>
            </w:r>
          </w:p>
        </w:tc>
        <w:tc>
          <w:tcPr>
            <w:tcW w:type="dxa" w:w="430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Exemplos</w:t>
            </w:r>
          </w:p>
        </w:tc>
        <w:tc>
          <w:tcPr>
            <w:tcW w:type="dxa" w:w="367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r>
      <w:tr>
        <w:trPr>
          <w:cantSplit/>
        </w:trPr>
        <w:tc>
          <w:tcPr>
            <w:tcW w:type="dxa" w:w="1370"/>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Urgente</w:t>
            </w:r>
          </w:p>
        </w:tc>
        <w:tc>
          <w:tcPr>
            <w:tcW w:type="dxa" w:w="430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Cobrança extraordinária com vencimento próximo, notificação com prazo</w:t>
            </w:r>
          </w:p>
        </w:tc>
        <w:tc>
          <w:tcPr>
            <w:tcW w:type="dxa" w:w="36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dias úteis</w:t>
            </w:r>
          </w:p>
        </w:tc>
      </w:tr>
      <w:tr>
        <w:trPr>
          <w:cantSplit/>
        </w:trPr>
        <w:tc>
          <w:tcPr>
            <w:tcW w:type="dxa" w:w="1370"/>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Para assembleia</w:t>
            </w:r>
          </w:p>
        </w:tc>
        <w:tc>
          <w:tcPr>
            <w:tcW w:type="dxa" w:w="430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Análise da pauta com recomendação de voto</w:t>
            </w:r>
          </w:p>
        </w:tc>
        <w:tc>
          <w:tcPr>
            <w:tcW w:type="dxa" w:w="36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 dias úteis após o edital e, no mínimo, 5 dias úteis antes da assembleia</w:t>
            </w:r>
          </w:p>
        </w:tc>
      </w:tr>
      <w:tr>
        <w:trPr>
          <w:cantSplit/>
        </w:trPr>
        <w:tc>
          <w:tcPr>
            <w:tcW w:type="dxa" w:w="1370"/>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Padrão</w:t>
            </w:r>
          </w:p>
        </w:tc>
        <w:tc>
          <w:tcPr>
            <w:tcW w:type="dxa" w:w="430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Reajuste de contrato, despesa fora do orçamento, análise de rateio</w:t>
            </w:r>
          </w:p>
        </w:tc>
        <w:tc>
          <w:tcPr>
            <w:tcW w:type="dxa" w:w="36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w:t>
            </w:r>
          </w:p>
        </w:tc>
      </w:tr>
      <w:tr>
        <w:trPr>
          <w:cantSplit/>
        </w:trPr>
        <w:tc>
          <w:tcPr>
            <w:tcW w:type="dxa" w:w="1370"/>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Complexo</w:t>
            </w:r>
          </w:p>
        </w:tc>
        <w:tc>
          <w:tcPr>
            <w:tcW w:type="dxa" w:w="430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Revisão completa de rateio, renegociação relevante, alteração de convenção, obras</w:t>
            </w:r>
          </w:p>
        </w:tc>
        <w:tc>
          <w:tcPr>
            <w:tcW w:type="dxa" w:w="36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10 dias úteis, com versão preliminar em 5 dias úteis</w:t>
            </w:r>
          </w:p>
        </w:tc>
      </w:tr>
    </w:tbl>
    <w:p>
      <w:pPr>
        <w:spacing w:after="120"/>
      </w:pPr>
    </w:p>
    <w:p>
      <w:pPr>
        <w:spacing w:after="150" w:line="300"/>
        <w:jc w:val="both"/>
      </w:pPr>
      <w:r>
        <w:rPr>
          <w:rFonts w:ascii="Calibri" w:cs="Calibri" w:eastAsia="Calibri" w:hAnsi="Calibri"/>
          <w:color w:val="1F2A37"/>
          <w:sz w:val="21"/>
          <w:szCs w:val="21"/>
        </w:rPr>
        <w:t xml:space="preserve">O prazo para pareceres de assembleia foi desenhado para que o Einstein tenha tempo de cumprir suas alçadas internas de aprovação antes da data da assembleia.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5. Metodologia de análise e validação de rateios</w:t>
      </w:r>
    </w:p>
    <w:p>
      <w:pPr>
        <w:keepNext/>
        <w:spacing w:before="220" w:after="100"/>
      </w:pPr>
      <w:r>
        <w:rPr>
          <w:rFonts w:ascii="Calibri" w:cs="Calibri" w:eastAsia="Calibri" w:hAnsi="Calibri"/>
          <w:b/>
          <w:bCs/>
          <w:color w:val="2F4162"/>
          <w:sz w:val="23"/>
          <w:szCs w:val="23"/>
        </w:rPr>
        <w:t xml:space="preserve">5.1 Diagnóstico inicial (mobilização)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Levantamento documental: convenção, instituição e especificação, frações ideais, regimento interno, contratos vigentes, orçamento e os 12 últimos balancetes.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Entrevistas com a administradora, o síndico geral e o Facilities do Einstein.</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Visita técnica para validar áreas, uso dos espaços e medidores.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Levantamento das medições individualizadas existentes e faltantes (energia, água, climatização).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Matriz de critério de rateio por conta (fração ideal, área, consumo medido ou uso efetivo), com fundamento na convenção, de forma a identificar e evitar subsídios cruzados entre setores.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Relatório de diagnóstico: situação atual x situação correta.</w:t>
      </w:r>
    </w:p>
    <w:p>
      <w:pPr>
        <w:keepNext/>
        <w:spacing w:before="220" w:after="100"/>
      </w:pPr>
      <w:r>
        <w:rPr>
          <w:rFonts w:ascii="Calibri" w:cs="Calibri" w:eastAsia="Calibri" w:hAnsi="Calibri"/>
          <w:b/>
          <w:bCs/>
          <w:color w:val="2F4162"/>
          <w:sz w:val="23"/>
          <w:szCs w:val="23"/>
        </w:rPr>
        <w:t xml:space="preserve">5.2 Rotina mensal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do balancete, comparado ao orçamento e aos contratos.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Conferência das pastas de prestação de contas por amostragem (notas, comprovantes, alçadas).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 com recomendação sempre que uma conta variar </w:t>
      </w:r>
      <w:r>
        <w:rPr>
          <w:rFonts w:ascii="Calibri" w:cs="Calibri" w:eastAsia="Calibri" w:hAnsi="Calibri"/>
          <w:b/>
          <w:bCs/>
          <w:color w:val="1F2A37"/>
          <w:sz w:val="20"/>
          <w:szCs w:val="20"/>
        </w:rPr>
        <w:t xml:space="preserve">5% para mais ou para menos</w:t>
      </w:r>
      <w:r>
        <w:rPr>
          <w:rFonts w:ascii="Calibri" w:cs="Calibri" w:eastAsia="Calibri" w:hAnsi="Calibri"/>
          <w:color w:val="1F2A37"/>
          <w:sz w:val="20"/>
          <w:szCs w:val="20"/>
        </w:rPr>
        <w:t xml:space="preserve"> em relação ao previsto.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Os resultados alimentam o relatório executivo mensal e o dashboard.</w:t>
      </w:r>
    </w:p>
    <w:p>
      <w:pPr>
        <w:keepNext/>
        <w:spacing w:before="220" w:after="100"/>
      </w:pPr>
      <w:r>
        <w:rPr>
          <w:rFonts w:ascii="Calibri" w:cs="Calibri" w:eastAsia="Calibri" w:hAnsi="Calibri"/>
          <w:b/>
          <w:bCs/>
          <w:color w:val="2F4162"/>
          <w:sz w:val="23"/>
          <w:szCs w:val="23"/>
        </w:rPr>
        <w:t xml:space="preserve">5.3 Previsão orçamentária, eventos e prestação de contas anual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da matriz de critérios durante a elaboração da Previsão Orçamentária ou quando necessário.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Apoio à Previsão Orçamentária, com simulação do rateio por setor antes da votação.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do rateio em caso de novo contrato, obra, mudança de ocupação ou alteração da convenção.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Proposta formal de correção em assembleia e acompanhamento da implantação.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Validação da prestação de contas anual antes da AGO.</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6. Plano de mobilização e atuação inicial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580"/>
        <w:gridCol w:w="1055"/>
        <w:gridCol w:w="3709"/>
        <w:gridCol w:w="3006"/>
      </w:tblGrid>
      <w:tr>
        <w:trPr>
          <w:cantSplit/>
          <w:tblHeader/>
        </w:trPr>
        <w:tc>
          <w:tcPr>
            <w:tcW w:type="dxa" w:w="158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Fase</w:t>
            </w:r>
          </w:p>
        </w:tc>
        <w:tc>
          <w:tcPr>
            <w:tcW w:type="dxa" w:w="105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c>
          <w:tcPr>
            <w:tcW w:type="dxa" w:w="370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Atividades</w:t>
            </w:r>
          </w:p>
        </w:tc>
        <w:tc>
          <w:tcPr>
            <w:tcW w:type="dxa" w:w="300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Entrega ao Einstein</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Kick-off</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 1</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Reunião com Facilities e Suprimentos: interlocutores, canais oficiais, alçadas e temas que exigem autorização</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Ata do kick-off e matriz de contatos e escalonamento</w:t>
            </w:r>
          </w:p>
        </w:tc>
      </w:tr>
      <w:tr>
        <w:trPr>
          <w:cantSplit/>
        </w:trPr>
        <w:tc>
          <w:tcPr>
            <w:tcW w:type="dxa" w:w="158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Apresentação e acessos</w:t>
            </w:r>
          </w:p>
        </w:tc>
        <w:tc>
          <w:tcPr>
            <w:tcW w:type="dxa" w:w="105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Semanas 1 e 2</w:t>
            </w:r>
          </w:p>
        </w:tc>
        <w:tc>
          <w:tcPr>
            <w:tcW w:type="dxa" w:w="370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Apresentação formal à administradora, ao síndico geral e aos condôminos; solicitação de documentos</w:t>
            </w:r>
          </w:p>
        </w:tc>
        <w:tc>
          <w:tcPr>
            <w:tcW w:type="dxa" w:w="300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Lista de documentos solicitados x recebidos</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Imersão</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Semanas 2 a 4</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Primeira visita (titular + Diretor de Operações), entrevistas, leitura dos documentos</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Primeiro relatório executivo mensal (D+30)</w:t>
            </w:r>
          </w:p>
        </w:tc>
      </w:tr>
      <w:tr>
        <w:trPr>
          <w:cantSplit/>
        </w:trPr>
        <w:tc>
          <w:tcPr>
            <w:tcW w:type="dxa" w:w="158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Diagnóstico</w:t>
            </w:r>
          </w:p>
        </w:tc>
        <w:tc>
          <w:tcPr>
            <w:tcW w:type="dxa" w:w="105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D+60</w:t>
            </w:r>
          </w:p>
        </w:tc>
        <w:tc>
          <w:tcPr>
            <w:tcW w:type="dxa" w:w="370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Matriz de critérios de rateio, diagnóstico atual x correto, matriz de riscos</w:t>
            </w:r>
          </w:p>
        </w:tc>
        <w:tc>
          <w:tcPr>
            <w:tcW w:type="dxa" w:w="300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de diagnóstico, matriz de riscos e plano de ação</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Operação plena</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 partir de D+90</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Rotina mensal completa</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Dashboard em formato de relatório mensal</w:t>
            </w:r>
          </w:p>
        </w:tc>
      </w:tr>
    </w:tbl>
    <w:p>
      <w:pPr>
        <w:spacing w:after="120"/>
      </w:pPr>
    </w:p>
    <w:p>
      <w:pPr>
        <w:spacing w:after="150" w:line="300"/>
        <w:jc w:val="both"/>
      </w:pPr>
      <w:r>
        <w:rPr>
          <w:rFonts w:ascii="Calibri" w:cs="Calibri" w:eastAsia="Calibri" w:hAnsi="Calibri"/>
          <w:b/>
          <w:bCs/>
          <w:color w:val="1F2A37"/>
          <w:sz w:val="21"/>
          <w:szCs w:val="21"/>
        </w:rPr>
        <w:t xml:space="preserve">Previsão Orçamentária 2027:</w:t>
      </w:r>
      <w:r>
        <w:rPr>
          <w:rFonts w:ascii="Calibri" w:cs="Calibri" w:eastAsia="Calibri" w:hAnsi="Calibri"/>
          <w:color w:val="1F2A37"/>
          <w:sz w:val="21"/>
          <w:szCs w:val="21"/>
        </w:rPr>
        <w:t xml:space="preserve"> caso ainda não tenha sido aprovada em assembleia na data de início do contrato, será revisada pela DF com prioridade.</w:t>
      </w:r>
    </w:p>
    <w:p>
      <w:pPr>
        <w:spacing w:after="150" w:line="300"/>
        <w:jc w:val="both"/>
      </w:pPr>
      <w:r>
        <w:rPr>
          <w:rFonts w:ascii="Calibri" w:cs="Calibri" w:eastAsia="Calibri" w:hAnsi="Calibri"/>
          <w:b/>
          <w:bCs/>
          <w:color w:val="1F2A37"/>
          <w:sz w:val="21"/>
          <w:szCs w:val="21"/>
        </w:rPr>
        <w:t xml:space="preserve">Insumos necessários do Einstein para o início:</w:t>
      </w:r>
      <w:r>
        <w:rPr>
          <w:rFonts w:ascii="Calibri" w:cs="Calibri" w:eastAsia="Calibri" w:hAnsi="Calibri"/>
          <w:color w:val="1F2A37"/>
          <w:sz w:val="21"/>
          <w:szCs w:val="21"/>
        </w:rPr>
        <w:t xml:space="preserve"> ata de eleição, procurações aplicáveis, contratos, convenção e demais documentos, pastas de prestação de contas e contatos da administradora e do síndico geral.</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7. Independência e conflito de interesses</w:t>
      </w:r>
    </w:p>
    <w:p>
      <w:pPr>
        <w:spacing w:after="150" w:line="300"/>
        <w:jc w:val="both"/>
      </w:pPr>
      <w:r>
        <w:rPr>
          <w:rFonts w:ascii="Calibri" w:cs="Calibri" w:eastAsia="Calibri" w:hAnsi="Calibri"/>
          <w:color w:val="1F2A37"/>
          <w:sz w:val="21"/>
          <w:szCs w:val="21"/>
        </w:rPr>
        <w:t xml:space="preserve">A DF Síndicos Profissionais, seus sócios, os profissionais indicados e todos os demais colaboradores </w:t>
      </w:r>
      <w:r>
        <w:rPr>
          <w:rFonts w:ascii="Calibri" w:cs="Calibri" w:eastAsia="Calibri" w:hAnsi="Calibri"/>
          <w:b/>
          <w:bCs/>
          <w:color w:val="1F2A37"/>
          <w:sz w:val="21"/>
          <w:szCs w:val="21"/>
        </w:rPr>
        <w:t xml:space="preserve">não mantêm qualquer vínculo</w:t>
      </w:r>
      <w:r>
        <w:rPr>
          <w:rFonts w:ascii="Calibri" w:cs="Calibri" w:eastAsia="Calibri" w:hAnsi="Calibri"/>
          <w:color w:val="1F2A37"/>
          <w:sz w:val="21"/>
          <w:szCs w:val="21"/>
        </w:rPr>
        <w:t xml:space="preserve"> com os condomínios e subcondomínios das unidades desta RFP, seus síndicos gerais, administradoras, proprietários, incorporadores, fundos ou gestores, nem com os demais condomínios do complexo Parque Global. A </w:t>
      </w:r>
      <w:r>
        <w:rPr>
          <w:rFonts w:ascii="Calibri" w:cs="Calibri" w:eastAsia="Calibri" w:hAnsi="Calibri"/>
          <w:b/>
          <w:bCs/>
          <w:color w:val="1F2A37"/>
          <w:sz w:val="21"/>
          <w:szCs w:val="21"/>
        </w:rPr>
        <w:t xml:space="preserve">Declaração formal de independência e inexistência de conflito de interesses</w:t>
      </w:r>
      <w:r>
        <w:rPr>
          <w:rFonts w:ascii="Calibri" w:cs="Calibri" w:eastAsia="Calibri" w:hAnsi="Calibri"/>
          <w:color w:val="1F2A37"/>
          <w:sz w:val="21"/>
          <w:szCs w:val="21"/>
        </w:rPr>
        <w:t xml:space="preserve">, assinada pela representante legal, segue anexa.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8. Experiência e cases similares</w:t>
      </w:r>
    </w:p>
    <w:p>
      <w:pPr>
        <w:spacing w:after="150" w:line="300"/>
        <w:jc w:val="both"/>
      </w:pPr>
      <w:r>
        <w:rPr>
          <w:rFonts w:ascii="Calibri" w:cs="Calibri" w:eastAsia="Calibri" w:hAnsi="Calibri"/>
          <w:color w:val="1F2A37"/>
          <w:sz w:val="21"/>
          <w:szCs w:val="21"/>
        </w:rPr>
        <w:t xml:space="preserve">A DF Síndicos Profissionais tem hoje </w:t>
      </w:r>
      <w:r>
        <w:rPr>
          <w:rFonts w:ascii="Calibri" w:cs="Calibri" w:eastAsia="Calibri" w:hAnsi="Calibri"/>
          <w:b/>
          <w:bCs/>
          <w:color w:val="1F2A37"/>
          <w:sz w:val="21"/>
          <w:szCs w:val="21"/>
        </w:rPr>
        <w:t xml:space="preserve">mais de 40 condomínios sob sua gestão</w:t>
      </w:r>
      <w:r>
        <w:rPr>
          <w:rFonts w:ascii="Calibri" w:cs="Calibri" w:eastAsia="Calibri" w:hAnsi="Calibri"/>
          <w:color w:val="1F2A37"/>
          <w:sz w:val="21"/>
          <w:szCs w:val="21"/>
        </w:rPr>
        <w:t xml:space="preserve">, que somam </w:t>
      </w:r>
      <w:r>
        <w:rPr>
          <w:rFonts w:ascii="Calibri" w:cs="Calibri" w:eastAsia="Calibri" w:hAnsi="Calibri"/>
          <w:b/>
          <w:bCs/>
          <w:color w:val="1F2A37"/>
          <w:sz w:val="21"/>
          <w:szCs w:val="21"/>
        </w:rPr>
        <w:t xml:space="preserve">mais de 2 milhões de m²</w:t>
      </w:r>
      <w:r>
        <w:rPr>
          <w:rFonts w:ascii="Calibri" w:cs="Calibri" w:eastAsia="Calibri" w:hAnsi="Calibri"/>
          <w:color w:val="1F2A37"/>
          <w:sz w:val="21"/>
          <w:szCs w:val="21"/>
        </w:rPr>
        <w:t xml:space="preserve"> de área locável, </w:t>
      </w:r>
      <w:r>
        <w:rPr>
          <w:rFonts w:ascii="Calibri" w:cs="Calibri" w:eastAsia="Calibri" w:hAnsi="Calibri"/>
          <w:b/>
          <w:bCs/>
          <w:color w:val="1F2A37"/>
          <w:sz w:val="21"/>
          <w:szCs w:val="21"/>
        </w:rPr>
        <w:t xml:space="preserve">mais de R$ 24 milhões mensais de OPEX</w:t>
      </w:r>
      <w:r>
        <w:rPr>
          <w:rFonts w:ascii="Calibri" w:cs="Calibri" w:eastAsia="Calibri" w:hAnsi="Calibri"/>
          <w:color w:val="1F2A37"/>
          <w:sz w:val="21"/>
          <w:szCs w:val="21"/>
        </w:rPr>
        <w:t xml:space="preserve"> e </w:t>
      </w:r>
      <w:r>
        <w:rPr>
          <w:rFonts w:ascii="Calibri" w:cs="Calibri" w:eastAsia="Calibri" w:hAnsi="Calibri"/>
          <w:b/>
          <w:bCs/>
          <w:color w:val="1F2A37"/>
          <w:sz w:val="21"/>
          <w:szCs w:val="21"/>
        </w:rPr>
        <w:t xml:space="preserve">mais de R$ 35 milhões em CAPEX por ano</w:t>
      </w:r>
      <w:r>
        <w:rPr>
          <w:rFonts w:ascii="Calibri" w:cs="Calibri" w:eastAsia="Calibri" w:hAnsi="Calibri"/>
          <w:color w:val="1F2A37"/>
          <w:sz w:val="21"/>
          <w:szCs w:val="21"/>
        </w:rPr>
        <w:t xml:space="preserve">. A carteira reúne empreendimentos corporativos AAA, complexos multiuso e condomínios com subcondomínios, em São Paulo e no Rio de Janeiro. Os cases abaixo foram escolhidos por reproduzirem as situações das unidades desta RFP. Seguem anexos atestados de capacidade técnica emitidos por clientes da DF.</w:t>
      </w:r>
    </w:p>
    <w:p>
      <w:pPr>
        <w:keepNext/>
        <w:spacing w:before="220" w:after="100"/>
      </w:pPr>
      <w:r>
        <w:rPr>
          <w:rFonts w:ascii="Calibri" w:cs="Calibri" w:eastAsia="Calibri" w:hAnsi="Calibri"/>
          <w:b/>
          <w:bCs/>
          <w:color w:val="2F4162"/>
          <w:sz w:val="23"/>
          <w:szCs w:val="23"/>
        </w:rPr>
        <w:t xml:space="preserve">Case 1 — Condomínio São Paulo Headquarters I (SPHQ I)</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 64.489 m² construídos · condomínio geral + três subcondomínios, cada um com receitas e despesas próprias · </w:t>
      </w:r>
      <w:r>
        <w:rPr>
          <w:rFonts w:ascii="Calibri" w:cs="Calibri" w:eastAsia="Calibri" w:hAnsi="Calibri"/>
          <w:b/>
          <w:bCs/>
          <w:color w:val="1F2A37"/>
          <w:sz w:val="21"/>
          <w:szCs w:val="21"/>
        </w:rPr>
        <w:t xml:space="preserve">DF síndica desde 2014</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a convenção original previa rateio único por fração ideal, sem refletir a estrutura real do empreendimento — três subcondomínios e um condomínio geral, com instalações, equipamentos e necessidades distintas. Resultado: subcondomínios pagando despesas uns dos outros.</w:t>
      </w:r>
    </w:p>
    <w:p>
      <w:pPr>
        <w:spacing w:after="150" w:line="300"/>
        <w:jc w:val="both"/>
      </w:pPr>
      <w:r>
        <w:rPr>
          <w:rFonts w:ascii="Calibri" w:cs="Calibri" w:eastAsia="Calibri" w:hAnsi="Calibri"/>
          <w:b/>
          <w:bCs/>
          <w:color w:val="1F2A37"/>
          <w:sz w:val="21"/>
          <w:szCs w:val="21"/>
        </w:rPr>
        <w:t xml:space="preserve">O que a DF fez:</w:t>
      </w:r>
      <w:r>
        <w:rPr>
          <w:rFonts w:ascii="Calibri" w:cs="Calibri" w:eastAsia="Calibri" w:hAnsi="Calibri"/>
          <w:color w:val="1F2A37"/>
          <w:sz w:val="21"/>
          <w:szCs w:val="21"/>
        </w:rPr>
        <w:t xml:space="preserve"> levantou cada área, prédio, estrutura e equipamento instalado, o tamanho de cada subcondomínio e a necessidade dos locatários. Com base nisso, criou um </w:t>
      </w:r>
      <w:r>
        <w:rPr>
          <w:rFonts w:ascii="Calibri" w:cs="Calibri" w:eastAsia="Calibri" w:hAnsi="Calibri"/>
          <w:b/>
          <w:bCs/>
          <w:color w:val="1F2A37"/>
          <w:sz w:val="21"/>
          <w:szCs w:val="21"/>
        </w:rPr>
        <w:t xml:space="preserve">Coeficiente de Rateio de Despesas (CRD)</w:t>
      </w:r>
      <w:r>
        <w:rPr>
          <w:rFonts w:ascii="Calibri" w:cs="Calibri" w:eastAsia="Calibri" w:hAnsi="Calibri"/>
          <w:color w:val="1F2A37"/>
          <w:sz w:val="21"/>
          <w:szCs w:val="21"/>
        </w:rPr>
        <w:t xml:space="preserve"> que separa as despesas do condomínio geral das despesas específicas de cada subcondomínio, e conduziu sua </w:t>
      </w:r>
      <w:r>
        <w:rPr>
          <w:rFonts w:ascii="Calibri" w:cs="Calibri" w:eastAsia="Calibri" w:hAnsi="Calibri"/>
          <w:b/>
          <w:bCs/>
          <w:color w:val="1F2A37"/>
          <w:sz w:val="21"/>
          <w:szCs w:val="21"/>
        </w:rPr>
        <w:t xml:space="preserve">aprovação em assembleia</w:t>
      </w:r>
      <w:r>
        <w:rPr>
          <w:rFonts w:ascii="Calibri" w:cs="Calibri" w:eastAsia="Calibri" w:hAnsi="Calibri"/>
          <w:color w:val="1F2A37"/>
          <w:sz w:val="21"/>
          <w:szCs w:val="21"/>
        </w:rPr>
        <w:t xml:space="preserve">, passando a substituir o formato de rateio previsto na convenção.</w:t>
      </w:r>
    </w:p>
    <w:p>
      <w:pPr>
        <w:spacing w:after="150" w:line="300"/>
        <w:jc w:val="both"/>
      </w:pPr>
      <w:r>
        <w:rPr>
          <w:rFonts w:ascii="Calibri" w:cs="Calibri" w:eastAsia="Calibri" w:hAnsi="Calibri"/>
          <w:b/>
          <w:bCs/>
          <w:color w:val="1F2A37"/>
          <w:sz w:val="21"/>
          <w:szCs w:val="21"/>
        </w:rPr>
        <w:t xml:space="preserve">Resultado:</w:t>
      </w:r>
      <w:r>
        <w:rPr>
          <w:rFonts w:ascii="Calibri" w:cs="Calibri" w:eastAsia="Calibri" w:hAnsi="Calibri"/>
          <w:color w:val="1F2A37"/>
          <w:sz w:val="21"/>
          <w:szCs w:val="21"/>
        </w:rPr>
        <w:t xml:space="preserve"> cada subcondomínio passou a arcar apenas com suas despesas específicas, sem ser onerado por despesas de outro e sem ter as suas pagas por terceiros — fim do subsídio cruzado, com respaldo formal em deliberação de assembleia.</w:t>
      </w:r>
    </w:p>
    <w:p>
      <w:pPr>
        <w:spacing w:after="150" w:line="300"/>
        <w:jc w:val="both"/>
      </w:pPr>
      <w:r>
        <w:rPr>
          <w:rFonts w:ascii="Calibri" w:cs="Calibri" w:eastAsia="Calibri" w:hAnsi="Calibri"/>
          <w:b/>
          <w:bCs/>
          <w:color w:val="1F2A37"/>
          <w:sz w:val="21"/>
          <w:szCs w:val="21"/>
        </w:rPr>
        <w:t xml:space="preserve">Case semelhante à RFP Einstein:</w:t>
      </w:r>
      <w:r>
        <w:rPr>
          <w:rFonts w:ascii="Calibri" w:cs="Calibri" w:eastAsia="Calibri" w:hAnsi="Calibri"/>
          <w:color w:val="1F2A37"/>
          <w:sz w:val="21"/>
          <w:szCs w:val="21"/>
        </w:rPr>
        <w:t xml:space="preserve"> é exatamente a estrutura prevista na convenção das unidades desta RFP — subsíndico por setor, autonomia dos setores e segregação de despesas comuns e específicas.</w:t>
      </w:r>
    </w:p>
    <w:p>
      <w:pPr>
        <w:keepNext/>
        <w:spacing w:before="220" w:after="100"/>
      </w:pPr>
      <w:r>
        <w:rPr>
          <w:rFonts w:ascii="Calibri" w:cs="Calibri" w:eastAsia="Calibri" w:hAnsi="Calibri"/>
          <w:b/>
          <w:bCs/>
          <w:color w:val="2F4162"/>
          <w:sz w:val="23"/>
          <w:szCs w:val="23"/>
        </w:rPr>
        <w:t xml:space="preserve">Case 2 — Complexo 17007 Nações</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(Chácara Santo Antônio) · Torre Sigma e Torre Alpha (corporativas AAA) + subcondomínio garagem + mall (Nações Open Mall) + acesso integrado à estação João Dias da CPTM · ocupantes como Roche e Nestlé · </w:t>
      </w:r>
      <w:r>
        <w:rPr>
          <w:rFonts w:ascii="Calibri" w:cs="Calibri" w:eastAsia="Calibri" w:hAnsi="Calibri"/>
          <w:b/>
          <w:bCs/>
          <w:color w:val="1F2A37"/>
          <w:sz w:val="21"/>
          <w:szCs w:val="21"/>
        </w:rPr>
        <w:t xml:space="preserve">DF síndica desde 2025</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assumir a sindicância de um complexo multissegmento cuja gestão estava estruturada havia oito anos com a mesma administradora, com necessidade de revisar o rateio, os fornecedores, a estrutura da equipe de operação e a proximidade com os locatários.</w:t>
      </w:r>
    </w:p>
    <w:p>
      <w:pPr>
        <w:spacing w:after="150" w:line="300"/>
        <w:jc w:val="both"/>
      </w:pPr>
      <w:r>
        <w:rPr>
          <w:rFonts w:ascii="Calibri" w:cs="Calibri" w:eastAsia="Calibri" w:hAnsi="Calibri"/>
          <w:b/>
          <w:bCs/>
          <w:color w:val="1F2A37"/>
          <w:sz w:val="21"/>
          <w:szCs w:val="21"/>
        </w:rPr>
        <w:t xml:space="preserve">O que a DF fez:</w:t>
      </w:r>
      <w:r>
        <w:rPr>
          <w:rFonts w:ascii="Calibri" w:cs="Calibri" w:eastAsia="Calibri" w:hAnsi="Calibri"/>
          <w:color w:val="1F2A37"/>
          <w:sz w:val="21"/>
          <w:szCs w:val="21"/>
        </w:rPr>
        <w:t xml:space="preserve"> diagnóstico integrado com as frentes de engenharia (gaps e oportunidades de melhoria), financeira e jurídica (revisão da convenção e dos documentos); relatórios de análise da operação e dos cargos existentes, com recomendação de contratação de profissionais com perfis, formações e capacidades diferentes; revisão de fornecedores; reorganização da gestão, mantendo a administradora (CBRE).</w:t>
      </w:r>
    </w:p>
    <w:p>
      <w:pPr>
        <w:spacing w:after="150" w:line="300"/>
        <w:jc w:val="both"/>
      </w:pPr>
      <w:r>
        <w:rPr>
          <w:rFonts w:ascii="Calibri" w:cs="Calibri" w:eastAsia="Calibri" w:hAnsi="Calibri"/>
          <w:b/>
          <w:bCs/>
          <w:color w:val="1F2A37"/>
          <w:sz w:val="21"/>
          <w:szCs w:val="21"/>
        </w:rPr>
        <w:t xml:space="preserve">Resultado:</w:t>
      </w:r>
      <w:r>
        <w:rPr>
          <w:rFonts w:ascii="Calibri" w:cs="Calibri" w:eastAsia="Calibri" w:hAnsi="Calibri"/>
          <w:color w:val="1F2A37"/>
          <w:sz w:val="21"/>
          <w:szCs w:val="21"/>
        </w:rPr>
        <w:t xml:space="preserve"> o rateio não seguia a convenção — o subcondomínio garagem arcava com despesas muito acima das suas despesas reais, subsidiando as torres. Com a revisão, a garagem passou a pagar apenas o que é seu, e a diferença foi redistribuída entre as Torres Sigma e Alpha, que são as ocupantes. O mall, que tem apenas área privativa e não utiliza o estacionamento, não foi onerado.</w:t>
      </w:r>
    </w:p>
    <w:p>
      <w:pPr>
        <w:keepNext/>
        <w:spacing w:before="220" w:after="100"/>
      </w:pPr>
      <w:r>
        <w:rPr>
          <w:rFonts w:ascii="Calibri" w:cs="Calibri" w:eastAsia="Calibri" w:hAnsi="Calibri"/>
          <w:b/>
          <w:bCs/>
          <w:color w:val="2F4162"/>
          <w:sz w:val="23"/>
          <w:szCs w:val="23"/>
        </w:rPr>
        <w:t xml:space="preserve">Case 3 — Complexo O Parque</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(Av. Roque Petroni Jr., Brooklin) · complexo multiuso AAA: torre de escritórios, torre hospitalar do </w:t>
      </w:r>
      <w:r>
        <w:rPr>
          <w:rFonts w:ascii="Calibri" w:cs="Calibri" w:eastAsia="Calibri" w:hAnsi="Calibri"/>
          <w:b/>
          <w:bCs/>
          <w:color w:val="1F2A37"/>
          <w:sz w:val="21"/>
          <w:szCs w:val="21"/>
        </w:rPr>
        <w:t xml:space="preserve">Hospital Sírio-Libanês</w:t>
      </w:r>
      <w:r>
        <w:rPr>
          <w:rFonts w:ascii="Calibri" w:cs="Calibri" w:eastAsia="Calibri" w:hAnsi="Calibri"/>
          <w:color w:val="1F2A37"/>
          <w:sz w:val="21"/>
          <w:szCs w:val="21"/>
        </w:rPr>
        <w:t xml:space="preserve"> (~10 mil m² em 9 andares, com clínicas e consultórios), duas torres residenciais e varejo · </w:t>
      </w:r>
      <w:r>
        <w:rPr>
          <w:rFonts w:ascii="Calibri" w:cs="Calibri" w:eastAsia="Calibri" w:hAnsi="Calibri"/>
          <w:b/>
          <w:bCs/>
          <w:color w:val="1F2A37"/>
          <w:sz w:val="21"/>
          <w:szCs w:val="21"/>
        </w:rPr>
        <w:t xml:space="preserve">DF síndica desde o início de 2026</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conduzir a implantação de um condomínio multissegmento ainda em obras, com ocupantes entrando, e sincronizar a operação de usos com necessidades opostas: escritórios, hospital e moradores sensíveis a obras, ruídos e horários. A chegada do hospital muda o perfil do público, o fluxo de pessoas (pacientes e acompanhantes), o estacionamento e transforma elevadores, geradores e abastecimento de água em sistemas de operação crítica.</w:t>
      </w:r>
    </w:p>
    <w:p>
      <w:pPr>
        <w:spacing w:after="150" w:line="300"/>
        <w:jc w:val="both"/>
      </w:pPr>
      <w:r>
        <w:rPr>
          <w:rFonts w:ascii="Calibri" w:cs="Calibri" w:eastAsia="Calibri" w:hAnsi="Calibri"/>
          <w:b/>
          <w:bCs/>
          <w:color w:val="1F2A37"/>
          <w:sz w:val="21"/>
          <w:szCs w:val="21"/>
        </w:rPr>
        <w:t xml:space="preserve">O que a DF faz:</w:t>
      </w:r>
      <w:r>
        <w:rPr>
          <w:rFonts w:ascii="Calibri" w:cs="Calibri" w:eastAsia="Calibri" w:hAnsi="Calibri"/>
          <w:color w:val="1F2A37"/>
          <w:sz w:val="21"/>
          <w:szCs w:val="21"/>
        </w:rPr>
        <w:t xml:space="preserve"> coordena a operação do complexo como gestora do condomínio, compatibilizando as regras e rotinas de cada segmento (obras, horários, acessos, estacionamento) e estruturando a gestão dos sistemas críticos para a operação hospitalar, sempre com foco no bem-estar de todos os ocupantes.</w:t>
      </w:r>
    </w:p>
    <w:p>
      <w:pPr>
        <w:spacing w:after="150" w:line="300"/>
        <w:jc w:val="both"/>
      </w:pPr>
      <w:r>
        <w:rPr>
          <w:rFonts w:ascii="Calibri" w:cs="Calibri" w:eastAsia="Calibri" w:hAnsi="Calibri"/>
          <w:b/>
          <w:bCs/>
          <w:color w:val="1F2A37"/>
          <w:sz w:val="21"/>
          <w:szCs w:val="21"/>
        </w:rPr>
        <w:t xml:space="preserve">Case semelhante à RFP Einstein:</w:t>
      </w:r>
      <w:r>
        <w:rPr>
          <w:rFonts w:ascii="Calibri" w:cs="Calibri" w:eastAsia="Calibri" w:hAnsi="Calibri"/>
          <w:color w:val="1F2A37"/>
          <w:sz w:val="21"/>
          <w:szCs w:val="21"/>
        </w:rPr>
        <w:t xml:space="preserve"> combina as duas situações desta concorrência — hospital dentro de condomínio multiuso, como no Parque Global, e implantação simultânea à entrada em operação, como em Pinheiros.</w:t>
      </w:r>
    </w:p>
    <w:p>
      <w:pPr>
        <w:keepNext/>
        <w:spacing w:before="220" w:after="100"/>
      </w:pPr>
      <w:r>
        <w:rPr>
          <w:rFonts w:ascii="Calibri" w:cs="Calibri" w:eastAsia="Calibri" w:hAnsi="Calibri"/>
          <w:b/>
          <w:bCs/>
          <w:color w:val="2F4162"/>
          <w:sz w:val="23"/>
          <w:szCs w:val="23"/>
        </w:rPr>
        <w:t xml:space="preserve">Outras experiências relevantes</w:t>
      </w:r>
    </w:p>
    <w:p>
      <w:pPr>
        <w:pStyle w:val="ListParagraph"/>
        <w:numPr>
          <w:ilvl w:val="0"/>
          <w:numId w:val="1"/>
        </w:numPr>
        <w:spacing w:after="110" w:line="290"/>
        <w:ind w:left="360"/>
        <w:jc w:val="both"/>
      </w:pPr>
      <w:r>
        <w:rPr>
          <w:rFonts w:ascii="Calibri" w:cs="Calibri" w:eastAsia="Calibri" w:hAnsi="Calibri"/>
          <w:b/>
          <w:bCs/>
          <w:color w:val="1F2A37"/>
          <w:sz w:val="20"/>
          <w:szCs w:val="20"/>
        </w:rPr>
        <w:t xml:space="preserve">Passeio Paulista</w:t>
      </w:r>
      <w:r>
        <w:rPr>
          <w:rFonts w:ascii="Calibri" w:cs="Calibri" w:eastAsia="Calibri" w:hAnsi="Calibri"/>
          <w:color w:val="1F2A37"/>
          <w:sz w:val="20"/>
          <w:szCs w:val="20"/>
        </w:rPr>
        <w:t xml:space="preserve"> · São Paulo (Rua da Consolação) · </w:t>
      </w:r>
      <w:r>
        <w:rPr>
          <w:rFonts w:ascii="Calibri" w:cs="Calibri" w:eastAsia="Calibri" w:hAnsi="Calibri"/>
          <w:b/>
          <w:bCs/>
          <w:color w:val="1F2A37"/>
          <w:sz w:val="20"/>
          <w:szCs w:val="20"/>
        </w:rPr>
        <w:t xml:space="preserve">DF síndica desde 2025</w:t>
      </w:r>
      <w:r>
        <w:rPr>
          <w:rFonts w:ascii="Calibri" w:cs="Calibri" w:eastAsia="Calibri" w:hAnsi="Calibri"/>
          <w:color w:val="1F2A37"/>
          <w:sz w:val="20"/>
          <w:szCs w:val="20"/>
        </w:rPr>
        <w:t xml:space="preserve"> · empreendimento de uso misto AAA — torre corporativa, lojas e lofts residenciais, 46 mil m² locáveis. A DF é responsável pela gestão completa do condomínio, em conjunto com a administradora, conciliando segmentos com rotinas e expectativas diferentes.</w:t>
      </w:r>
    </w:p>
    <w:p>
      <w:pPr>
        <w:pStyle w:val="ListParagraph"/>
        <w:numPr>
          <w:ilvl w:val="0"/>
          <w:numId w:val="1"/>
        </w:numPr>
        <w:spacing w:after="110" w:line="290"/>
        <w:ind w:left="360"/>
        <w:jc w:val="both"/>
      </w:pPr>
      <w:r>
        <w:rPr>
          <w:rFonts w:ascii="Calibri" w:cs="Calibri" w:eastAsia="Calibri" w:hAnsi="Calibri"/>
          <w:b/>
          <w:bCs/>
          <w:color w:val="1F2A37"/>
          <w:sz w:val="20"/>
          <w:szCs w:val="20"/>
        </w:rPr>
        <w:t xml:space="preserve">Arquipeo</w:t>
      </w:r>
      <w:r>
        <w:rPr>
          <w:rFonts w:ascii="Calibri" w:cs="Calibri" w:eastAsia="Calibri" w:hAnsi="Calibri"/>
          <w:color w:val="1F2A37"/>
          <w:sz w:val="20"/>
          <w:szCs w:val="20"/>
        </w:rPr>
        <w:t xml:space="preserve"> · São Paulo (Vila Leopoldina) · </w:t>
      </w:r>
      <w:r>
        <w:rPr>
          <w:rFonts w:ascii="Calibri" w:cs="Calibri" w:eastAsia="Calibri" w:hAnsi="Calibri"/>
          <w:b/>
          <w:bCs/>
          <w:color w:val="1F2A37"/>
          <w:sz w:val="20"/>
          <w:szCs w:val="20"/>
        </w:rPr>
        <w:t xml:space="preserve">DF síndica desde 2024</w:t>
      </w:r>
      <w:r>
        <w:rPr>
          <w:rFonts w:ascii="Calibri" w:cs="Calibri" w:eastAsia="Calibri" w:hAnsi="Calibri"/>
          <w:color w:val="1F2A37"/>
          <w:sz w:val="20"/>
          <w:szCs w:val="20"/>
        </w:rPr>
        <w:t xml:space="preserve"> · built-to-suit AAA de 57 mil m² para um único grande ocupante (campus da WPP, ~4.000 pessoas). A DF é responsável pela gestão completa do condomínio, em conjunto com a administradora, incluindo a estruturação de planos de contingência para continuidade da operação.</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9. Aceite formal dos entregáveis</w:t>
      </w:r>
    </w:p>
    <w:p>
      <w:pPr>
        <w:spacing w:after="150" w:line="300"/>
        <w:jc w:val="both"/>
      </w:pPr>
      <w:r>
        <w:rPr>
          <w:rFonts w:ascii="Calibri" w:cs="Calibri" w:eastAsia="Calibri" w:hAnsi="Calibri"/>
          <w:color w:val="1F2A37"/>
          <w:sz w:val="21"/>
          <w:szCs w:val="21"/>
        </w:rPr>
        <w:t xml:space="preserve">A DF Síndicos Profissionais </w:t>
      </w:r>
      <w:r>
        <w:rPr>
          <w:rFonts w:ascii="Calibri" w:cs="Calibri" w:eastAsia="Calibri" w:hAnsi="Calibri"/>
          <w:b/>
          <w:bCs/>
          <w:color w:val="1F2A37"/>
          <w:sz w:val="21"/>
          <w:szCs w:val="21"/>
        </w:rPr>
        <w:t xml:space="preserve">confirma formalmente a aceitação integral de todos os entregáveis previstos no item 6.1 da RFP</w:t>
      </w:r>
      <w:r>
        <w:rPr>
          <w:rFonts w:ascii="Calibri" w:cs="Calibri" w:eastAsia="Calibri" w:hAnsi="Calibri"/>
          <w:color w:val="1F2A37"/>
          <w:sz w:val="21"/>
          <w:szCs w:val="21"/>
        </w:rPr>
        <w:t xml:space="preserve">, na forma e periodicidade abaixo:</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425"/>
        <w:gridCol w:w="4032"/>
        <w:gridCol w:w="3525"/>
        <w:gridCol w:w="1368"/>
      </w:tblGrid>
      <w:tr>
        <w:trPr>
          <w:cantSplit/>
          <w:tblHeader/>
        </w:trPr>
        <w:tc>
          <w:tcPr>
            <w:tcW w:type="dxa" w:w="4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w:t>
            </w:r>
          </w:p>
        </w:tc>
        <w:tc>
          <w:tcPr>
            <w:tcW w:type="dxa" w:w="4032"/>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Entregável da RFP</w:t>
            </w:r>
          </w:p>
        </w:tc>
        <w:tc>
          <w:tcPr>
            <w:tcW w:type="dxa" w:w="35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Formato e periodicidade</w:t>
            </w:r>
          </w:p>
        </w:tc>
        <w:tc>
          <w:tcPr>
            <w:tcW w:type="dxa" w:w="1368"/>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Primeira entrega</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executivo mensal com análise financeira, avaliação de rateios e identificação de riscos</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Mensal</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D+30</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Dashboard de acompanhamento orçamentário e de rateio condominial</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gráfico mensal</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D+90</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3</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Pareceres técnicos estruturados (contratos, despesas extraordinárias, reajustes)</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Sob demanda, nos prazos do item 4</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Conforme demanda</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Matriz de riscos condominiais e plano de mitigação</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Atualização trimestral ou sempre que surgir risco novo relevante</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D+60</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5</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Registro de deliberações e orientações de assembleia, com recomendações ao Einstein</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 após cada assembleia</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Primeira assembleia</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Plano de ação com priorização e acompanhamento de iniciativas</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Versão inicial no diagnóstico; acompanhamento mensal no relatório executivo</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D+60</w:t>
            </w:r>
          </w:p>
        </w:tc>
      </w:tr>
    </w:tbl>
    <w:p>
      <w:pPr>
        <w:spacing w:after="120"/>
      </w:pPr>
    </w:p>
    <w:p>
      <w:pPr>
        <w:spacing w:after="150" w:line="300"/>
        <w:jc w:val="both"/>
      </w:pPr>
      <w:r>
        <w:rPr>
          <w:rFonts w:ascii="Calibri" w:cs="Calibri" w:eastAsia="Calibri" w:hAnsi="Calibri"/>
          <w:color w:val="1F2A37"/>
          <w:sz w:val="21"/>
          <w:szCs w:val="21"/>
        </w:rPr>
        <w:t xml:space="preserve">A DF aceita também ser avaliada pelos </w:t>
      </w:r>
      <w:r>
        <w:rPr>
          <w:rFonts w:ascii="Calibri" w:cs="Calibri" w:eastAsia="Calibri" w:hAnsi="Calibri"/>
          <w:b/>
          <w:bCs/>
          <w:color w:val="1F2A37"/>
          <w:sz w:val="21"/>
          <w:szCs w:val="21"/>
        </w:rPr>
        <w:t xml:space="preserve">indicadores de desempenho do item 6.2 da RFP</w:t>
      </w:r>
      <w:r>
        <w:rPr>
          <w:rFonts w:ascii="Calibri" w:cs="Calibri" w:eastAsia="Calibri" w:hAnsi="Calibri"/>
          <w:color w:val="1F2A37"/>
          <w:sz w:val="21"/>
          <w:szCs w:val="21"/>
        </w:rPr>
        <w:t xml:space="preserve">: qualidade e acurácia das análises financeiras e de rateio, identificação de inconsistências e oportunidades de redução de custos, cumprimento de prazos e entregáveis, qualidade dos relatórios executivos, nível de suporte às decisões estratégicas do Einstein e atuação em assembleias.</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10. Despesas contempladas e não contempladas</w:t>
      </w:r>
    </w:p>
    <w:p>
      <w:pPr>
        <w:keepNext/>
        <w:spacing w:before="220" w:after="100"/>
      </w:pPr>
      <w:r>
        <w:rPr>
          <w:rFonts w:ascii="Calibri" w:cs="Calibri" w:eastAsia="Calibri" w:hAnsi="Calibri"/>
          <w:b/>
          <w:bCs/>
          <w:color w:val="2F4162"/>
          <w:sz w:val="23"/>
          <w:szCs w:val="23"/>
        </w:rPr>
        <w:t xml:space="preserve">Contempladas na remuneração mensal, sem qualquer custo adicional: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Honorários da titular, dos substitutos e da equipe de retaguarda.</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Visitas presenciais e técnicas na frequência do item 2.</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Deslocamento, estacionamento e alimentação da equipe na Grande São Paulo.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Participação em assembleias ordinárias e extraordinárias, inclusive as convocadas em caráter emergencial.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Plantão 24x7 e atendimento a ocorrências críticas.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Relatórios, dashboard, matriz de riscos e plano de 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Pareceres jurídicos, técnicos e financeiros elaborados pela equipe da DF.</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Seguro de Responsabilidade Civil Profissional e Seguro de Responsabilidade Civil Geral.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Todos os tributos.</w:t>
      </w:r>
    </w:p>
    <w:p>
      <w:pPr>
        <w:keepNext/>
        <w:spacing w:before="220" w:after="100"/>
      </w:pPr>
      <w:r>
        <w:rPr>
          <w:rFonts w:ascii="Calibri" w:cs="Calibri" w:eastAsia="Calibri" w:hAnsi="Calibri"/>
          <w:b/>
          <w:bCs/>
          <w:color w:val="2F4162"/>
          <w:sz w:val="23"/>
          <w:szCs w:val="23"/>
        </w:rPr>
        <w:t xml:space="preserve">Não contempladas — realizadas somente com autorização prévia e por escrito do Einstein:</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Laudos, perícias, ensaios ou medições técnicas executados por terceiros.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Pareceres de escritórios externos e atuação em processos judiciais.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Auditoria contábil independente.</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Custas cartoriais e registros (convenção, atas).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Viagens fora da Grande São Paulo.</w:t>
      </w:r>
    </w:p>
    <w:p>
      <w:pPr>
        <w:spacing w:after="150" w:line="300"/>
        <w:jc w:val="both"/>
      </w:pPr>
      <w:r>
        <w:rPr>
          <w:rFonts w:ascii="Calibri" w:cs="Calibri" w:eastAsia="Calibri" w:hAnsi="Calibri"/>
          <w:color w:val="1F2A37"/>
          <w:sz w:val="21"/>
          <w:szCs w:val="21"/>
        </w:rPr>
        <w:t xml:space="preserve">Esses itens </w:t>
      </w:r>
      <w:r>
        <w:rPr>
          <w:rFonts w:ascii="Calibri" w:cs="Calibri" w:eastAsia="Calibri" w:hAnsi="Calibri"/>
          <w:b/>
          <w:bCs/>
          <w:color w:val="1F2A37"/>
          <w:sz w:val="21"/>
          <w:szCs w:val="21"/>
        </w:rPr>
        <w:t xml:space="preserve">não alteram o valor mensal proposto</w:t>
      </w:r>
      <w:r>
        <w:rPr>
          <w:rFonts w:ascii="Calibri" w:cs="Calibri" w:eastAsia="Calibri" w:hAnsi="Calibri"/>
          <w:color w:val="1F2A37"/>
          <w:sz w:val="21"/>
          <w:szCs w:val="21"/>
        </w:rPr>
        <w:t xml:space="preserve">. Quando necessários, serão orçados à parte e submetidos à aprovação do Einstein antes de qualquer despesa.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11. Governança, alinhamento e autorização de votos</w:t>
      </w:r>
    </w:p>
    <w:p>
      <w:pPr>
        <w:keepNext/>
        <w:spacing w:before="220" w:after="100"/>
      </w:pPr>
      <w:r>
        <w:rPr>
          <w:rFonts w:ascii="Calibri" w:cs="Calibri" w:eastAsia="Calibri" w:hAnsi="Calibri"/>
          <w:b/>
          <w:bCs/>
          <w:color w:val="2F4162"/>
          <w:sz w:val="23"/>
          <w:szCs w:val="23"/>
        </w:rPr>
        <w:t xml:space="preserve">Princípio: nenhum voto ou manifestação em nome do Einstein sem autorização prévia e por escrito — inclusive em matérias de rotina.</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685"/>
        <w:gridCol w:w="4319"/>
        <w:gridCol w:w="3346"/>
      </w:tblGrid>
      <w:tr>
        <w:trPr>
          <w:cantSplit/>
          <w:tblHeader/>
        </w:trPr>
        <w:tc>
          <w:tcPr>
            <w:tcW w:type="dxa" w:w="168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Etapa</w:t>
            </w:r>
          </w:p>
        </w:tc>
        <w:tc>
          <w:tcPr>
            <w:tcW w:type="dxa" w:w="431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O que acontece</w:t>
            </w:r>
          </w:p>
        </w:tc>
        <w:tc>
          <w:tcPr>
            <w:tcW w:type="dxa" w:w="334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 Classificação</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Ao receber o edital, a DF classifica cada item da pauta como </w:t>
            </w:r>
            <w:r>
              <w:rPr>
                <w:rFonts w:ascii="Calibri" w:cs="Calibri" w:eastAsia="Calibri" w:hAnsi="Calibri"/>
                <w:b/>
                <w:bCs/>
                <w:color w:val="1F2A37"/>
                <w:sz w:val="18"/>
                <w:szCs w:val="18"/>
              </w:rPr>
              <w:t xml:space="preserve">rotina</w:t>
            </w:r>
            <w:r>
              <w:rPr>
                <w:rFonts w:ascii="Calibri" w:cs="Calibri" w:eastAsia="Calibri" w:hAnsi="Calibri"/>
                <w:color w:val="1F2A37"/>
                <w:sz w:val="18"/>
                <w:szCs w:val="18"/>
              </w:rPr>
              <w:t xml:space="preserve"> ou </w:t>
            </w:r>
            <w:r>
              <w:rPr>
                <w:rFonts w:ascii="Calibri" w:cs="Calibri" w:eastAsia="Calibri" w:hAnsi="Calibri"/>
                <w:b/>
                <w:bCs/>
                <w:color w:val="1F2A37"/>
                <w:sz w:val="18"/>
                <w:szCs w:val="18"/>
              </w:rPr>
              <w:t xml:space="preserve">estratégico</w:t>
            </w:r>
            <w:r>
              <w:rPr>
                <w:rFonts w:ascii="Calibri" w:cs="Calibri" w:eastAsia="Calibri" w:hAnsi="Calibri"/>
                <w:color w:val="1F2A37"/>
                <w:sz w:val="18"/>
                <w:szCs w:val="18"/>
              </w:rPr>
              <w:t xml:space="preserve"> (matérias do item 11.1 da RFP: orçamento e rateio, despesas extraordinárias, fornecedores relevantes, convenção e regulamento, obras, compromissos financeiros, temas jurídicos, operacionais ou reputacionais, conflitos entre setores)</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1 dia útil após o edital</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 Análise</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Itens de rotina: nota com recomendação de voto. Itens estratégicos: parecer completo com análise, riscos, alternativas e recomendação</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 dias úteis após o edital e, no mínimo, 5 dias úteis antes da assembleia</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3. Alinhamento</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Reunião ou call com o Facilities do Einstein</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antes da autorização</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 Autorização</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Orientação de voto por escrito para todos os itens, conforme as alçadas do Einstein; procuração específica quando necessária</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antes da assembleia</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5. Assembleia</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 DF vota exatamente conforme a autorização recebida</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na assembleia</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 Registro</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Registro das deliberações com recomendações ao Einstein</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 após</w:t>
            </w:r>
          </w:p>
        </w:tc>
      </w:tr>
    </w:tbl>
    <w:p>
      <w:pPr>
        <w:spacing w:after="120"/>
      </w:pPr>
    </w:p>
    <w:p>
      <w:pPr>
        <w:spacing w:after="150" w:line="300"/>
        <w:jc w:val="both"/>
      </w:pPr>
      <w:r>
        <w:rPr>
          <w:rFonts w:ascii="Calibri" w:cs="Calibri" w:eastAsia="Calibri" w:hAnsi="Calibri"/>
          <w:b/>
          <w:bCs/>
          <w:color w:val="1F2A37"/>
          <w:sz w:val="21"/>
          <w:szCs w:val="21"/>
        </w:rPr>
        <w:t xml:space="preserve">Imprevistos em assembleia:</w:t>
      </w:r>
      <w:r>
        <w:rPr>
          <w:rFonts w:ascii="Calibri" w:cs="Calibri" w:eastAsia="Calibri" w:hAnsi="Calibri"/>
          <w:color w:val="1F2A37"/>
          <w:sz w:val="21"/>
          <w:szCs w:val="21"/>
        </w:rPr>
        <w:t xml:space="preserve"> se surgir tema fora da pauta ou proposta diferente da analisada, a DF </w:t>
      </w:r>
      <w:r>
        <w:rPr>
          <w:rFonts w:ascii="Calibri" w:cs="Calibri" w:eastAsia="Calibri" w:hAnsi="Calibri"/>
          <w:b/>
          <w:bCs/>
          <w:color w:val="1F2A37"/>
          <w:sz w:val="21"/>
          <w:szCs w:val="21"/>
        </w:rPr>
        <w:t xml:space="preserve">não vota em nome do Einstein</w:t>
      </w:r>
      <w:r>
        <w:rPr>
          <w:rFonts w:ascii="Calibri" w:cs="Calibri" w:eastAsia="Calibri" w:hAnsi="Calibri"/>
          <w:color w:val="1F2A37"/>
          <w:sz w:val="21"/>
          <w:szCs w:val="21"/>
        </w:rPr>
        <w:t xml:space="preserve">: abstém-se, solicita ressalva em ata ou o adiamento da deliberação, e comunica o Einstein no mesmo dia.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12. Equipe de retaguarda e continuidade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5953"/>
        <w:gridCol w:w="3397"/>
      </w:tblGrid>
      <w:tr>
        <w:trPr>
          <w:cantSplit/>
          <w:tblHeader/>
        </w:trPr>
        <w:tc>
          <w:tcPr>
            <w:tcW w:type="dxa" w:w="5953"/>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Função</w:t>
            </w:r>
          </w:p>
        </w:tc>
        <w:tc>
          <w:tcPr>
            <w:tcW w:type="dxa" w:w="3397"/>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Profissional</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Titular — interlocução, assembleias e governança</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(CEO)</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Substituta — jurídico, contratos e convenção</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Amanda Tigre (Sócia Diretora)</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Substituto — engenharia, operação e sistemas críticos</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Caio Gavioli (Diretor de Operações)</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Financeiro — balancetes, orçamento, rateio e prestação de contas</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Marco Murilo (Gerente Financeiro)</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Proteção de dados e segurança da informação (LGPD)</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Cláudia De Santi (Diretora de LGPD)</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Prepostos — equipe de apoio com administradores, engenheiros e advogados</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Equipe DF</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Plantão 24x7 — escalonamento</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 Amanda → Caio → prepostos da DF</w:t>
            </w:r>
          </w:p>
        </w:tc>
      </w:tr>
    </w:tbl>
    <w:p>
      <w:pPr>
        <w:spacing w:after="120"/>
      </w:pPr>
    </w:p>
    <w:p>
      <w:pPr>
        <w:keepNext/>
        <w:spacing w:before="220" w:after="100"/>
      </w:pPr>
      <w:r>
        <w:rPr>
          <w:rFonts w:ascii="Calibri" w:cs="Calibri" w:eastAsia="Calibri" w:hAnsi="Calibri"/>
          <w:b/>
          <w:bCs/>
          <w:color w:val="2F4162"/>
          <w:sz w:val="23"/>
          <w:szCs w:val="23"/>
        </w:rPr>
        <w:t xml:space="preserve">Plano de contingência e continuidade (RFP 10.1):</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Titular e dois substitutos qualificados, com substituição imediata em férias, afastamentos ou emergências.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Todo o histórico do contrato — documentos, pareceres, decisões e assuntos em andamento — mantido em repositório corporativo da DF no OneDrive (Microsoft 365), com acesso restrito aos profissionais do contrato, garantindo continuidade imediata em qualquer substituição. Documentos do Einstein circulam também pelos canais por ele autorizados.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Escalonamento telefônico para situações críticas, 24x7, e disponibilidade para assembleias e reuniões extraordinárias, inclusive emergenciais.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Rede de parceiros especializados com nome no mercado — escritórios de advocacia, empresas de engenharia e consultorias —, não exclusivos. Quando um serviço específico é necessário, a DF conduz concorrência entre parceiros e submete a contratação à aprovação prévia do Einstein, conforme o item 10.</w:t>
      </w:r>
    </w:p>
    <w:p>
      <w:pPr>
        <w:spacing w:after="150" w:line="300"/>
        <w:jc w:val="both"/>
      </w:pPr>
      <w:r>
        <w:rPr>
          <w:rFonts w:ascii="Calibri" w:cs="Calibri" w:eastAsia="Calibri" w:hAnsi="Calibri"/>
          <w:b/>
          <w:bCs/>
          <w:color w:val="1F2A37"/>
          <w:sz w:val="21"/>
          <w:szCs w:val="21"/>
        </w:rPr>
        <w:t xml:space="preserve">LGPD e segurança da informação (RFP 9.2):</w:t>
      </w:r>
      <w:r>
        <w:rPr>
          <w:rFonts w:ascii="Calibri" w:cs="Calibri" w:eastAsia="Calibri" w:hAnsi="Calibri"/>
          <w:color w:val="1F2A37"/>
          <w:sz w:val="21"/>
          <w:szCs w:val="21"/>
        </w:rPr>
        <w:t xml:space="preserve"> a DF observa integralmente a LGPD e as políticas de Segurança da Informação do Einstein, sob coordenação da sua Diretora de LGPD. Atas, relatórios, pareceres, dashboards e documentos financeiros circulam exclusivamente pelos canais autorizados pelo Einstein, com acesso restrito aos profissionais do contrato, e qualquer incidente é comunicado imediatamente.</w:t>
      </w:r>
    </w:p>
    <w:p>
      <w:pPr>
        <w:spacing w:after="150" w:line="300"/>
        <w:jc w:val="both"/>
      </w:pPr>
      <w:r>
        <w:rPr>
          <w:rFonts w:ascii="Calibri" w:cs="Calibri" w:eastAsia="Calibri" w:hAnsi="Calibri"/>
          <w:b/>
          <w:bCs/>
          <w:color w:val="1F2A37"/>
          <w:sz w:val="21"/>
          <w:szCs w:val="21"/>
        </w:rPr>
        <w:t xml:space="preserve">Seguro (RFP 10.2):</w:t>
      </w:r>
      <w:r>
        <w:rPr>
          <w:rFonts w:ascii="Calibri" w:cs="Calibri" w:eastAsia="Calibri" w:hAnsi="Calibri"/>
          <w:color w:val="1F2A37"/>
          <w:sz w:val="21"/>
          <w:szCs w:val="21"/>
        </w:rPr>
        <w:t xml:space="preserve"> a DF mantém apólices vigentes de Responsabilidade Civil Profissional e de Responsabilidade Civil Geral, sem repasse de custo ao Einstein.</w:t>
      </w:r>
    </w:p>
    <w:p>
      <w:pPr>
        <w:keepNext/>
        <w:spacing w:after="150" w:line="300"/>
        <w:jc w:val="both"/>
      </w:pPr>
      <w:r>
        <w:rPr>
          <w:rFonts w:ascii="Calibri" w:cs="Calibri" w:eastAsia="Calibri" w:hAnsi="Calibri"/>
          <w:i/>
          <w:iCs/>
          <w:color w:val="5B6470"/>
          <w:sz w:val="19"/>
          <w:szCs w:val="19"/>
        </w:rPr>
        <w:t xml:space="preserve">Anexos: Declaração de independência e inexistência de conflito de interesses · Atestados de capacidade técnica emitidos por clientes da DF · Certificados das apólices de Responsabilidade Civil.</w:t>
      </w:r>
    </w:p>
    <w:p>
      <w:pPr>
        <w:keepNext/>
        <w:spacing w:before="480" w:after="0"/>
      </w:pPr>
    </w:p>
    <w:p>
      <w:pPr>
        <w:keepNext/>
        <w:spacing w:after="40"/>
      </w:pPr>
      <w:r>
        <w:rPr>
          <w:rFonts w:ascii="Calibri" w:cs="Calibri" w:eastAsia="Calibri" w:hAnsi="Calibri"/>
          <w:color w:val="5B6470"/>
          <w:sz w:val="21"/>
          <w:szCs w:val="21"/>
        </w:rPr>
        <w:t xml:space="preserve">__________________________________________</w:t>
      </w:r>
    </w:p>
    <w:p>
      <w:pPr>
        <w:keepNext/>
        <w:spacing w:after="0"/>
      </w:pPr>
      <w:r>
        <w:rPr>
          <w:rFonts w:ascii="Calibri" w:cs="Calibri" w:eastAsia="Calibri" w:hAnsi="Calibri"/>
          <w:b/>
          <w:bCs/>
          <w:color w:val="2F4162"/>
          <w:sz w:val="21"/>
          <w:szCs w:val="21"/>
        </w:rPr>
        <w:t xml:space="preserve">Denise Ferreira</w:t>
      </w:r>
    </w:p>
    <w:p>
      <w:pPr>
        <w:spacing w:after="0"/>
      </w:pPr>
      <w:r>
        <w:rPr>
          <w:rFonts w:ascii="Calibri" w:cs="Calibri" w:eastAsia="Calibri" w:hAnsi="Calibri"/>
          <w:color w:val="5B6470"/>
          <w:sz w:val="19"/>
          <w:szCs w:val="19"/>
        </w:rPr>
        <w:t xml:space="preserve">Sócia-diretora — DF Síndicos Profissionais Ltda.</w:t>
      </w:r>
    </w:p>
    <w:sectPr>
      <w:footerReference w:type="default" r:id="rId7"/>
      <w:pgSz w:w="11906" w:h="16838" w:orient="portrait"/>
      <w:pgMar w:top="950" w:right="1000" w:bottom="9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AE6D" w:sz="8" w:space="6"/>
      </w:pBdr>
      <w:tabs>
        <w:tab w:val="right" w:pos="9026"/>
      </w:tabs>
    </w:pPr>
    <w:r>
      <w:rPr>
        <w:rFonts w:ascii="Calibri" w:cs="Calibri" w:eastAsia="Calibri" w:hAnsi="Calibri"/>
        <w:b/>
        <w:bCs/>
        <w:color w:val="2F4162"/>
        <w:sz w:val="15"/>
        <w:szCs w:val="15"/>
      </w:rPr>
      <w:t xml:space="preserve">DF SÍNDICOS PROFISSIONAIS</w:t>
    </w:r>
    <w:r>
      <w:rPr>
        <w:rFonts w:ascii="Calibri" w:cs="Calibri" w:eastAsia="Calibri" w:hAnsi="Calibri"/>
        <w:i/>
        <w:iCs/>
        <w:color w:val="5B6470"/>
        <w:sz w:val="15"/>
        <w:szCs w:val="15"/>
      </w:rPr>
      <w:t xml:space="preserve">  ·  Proposta Técnica — Einstein Artur de Azevedo  —  Confidencial  ·  www.dfsindicos.com.br</w:t>
    </w:r>
    <w:r>
      <w:rPr>
        <w:rFonts w:ascii="Calibri" w:cs="Calibri" w:eastAsia="Calibri" w:hAnsi="Calibri"/>
        <w:i/>
        <w:iCs/>
        <w:color w:val="5B6470"/>
        <w:sz w:val="15"/>
        <w:szCs w:val="15"/>
      </w:rPr>
      <w:t xml:space="preserve">	Página </w:t>
    </w:r>
    <w:r>
      <w:rPr>
        <w:rFonts w:ascii="Calibri" w:cs="Calibri" w:eastAsia="Calibri" w:hAnsi="Calibri"/>
        <w:i/>
        <w:iCs/>
        <w:color w:val="5B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e9fce57de8da4069c1d127bbcf0e1730e56717.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2026-09-22T00:55:28.154Z</dcterms:created>
  <dcterms:modified xsi:type="dcterms:W3CDTF">2026-09-22T00:55:28.160Z</dcterms:modified>
</cp:coreProperties>
</file>

<file path=docProps/custom.xml><?xml version="1.0" encoding="utf-8"?>
<Properties xmlns="http://schemas.openxmlformats.org/officeDocument/2006/custom-properties" xmlns:vt="http://schemas.openxmlformats.org/officeDocument/2006/docPropsVTypes"/>
</file>