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23825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2AE6D" w:sz="10" w:space="6"/>
        </w:pBdr>
        <w:spacing w:after="26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F4162"/>
          <w:sz w:val="32"/>
          <w:szCs w:val="32"/>
        </w:rPr>
        <w:t xml:space="preserve">RELATÓRIO EXECUTIVO</w:t>
      </w:r>
    </w:p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2F4162"/>
          <w:sz w:val="28"/>
          <w:szCs w:val="28"/>
        </w:rPr>
        <w:t xml:space="preserve">DEFESA TÉCNICA · REPRESENTANTE CONDOMINIAL</w:t>
      </w:r>
    </w:p>
    <w:p>
      <w:pPr>
        <w:pBdr>
          <w:bottom w:val="single" w:color="C9CDD3" w:sz="6" w:space="8"/>
        </w:pBdr>
        <w:spacing w:after="260" w:before="100"/>
        <w:jc w:val="center"/>
      </w:pP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Einstein  ·  Parque Global, Pinheiros e Artur de Azevedo  ·  DF Síndicos Profissionais</w:t>
      </w:r>
    </w:p>
    <w:tbl>
      <w:tblPr>
        <w:tblW w:type="dxa" w:w="9350"/>
        <w:tblBorders>
          <w:top w:val="single" w:color="C9CDD3" w:sz="4"/>
          <w:left w:val="single" w:color="C9CDD3" w:sz="4"/>
          <w:bottom w:val="single" w:color="C9CDD3" w:sz="4"/>
          <w:right w:val="single" w:color="C9CDD3" w:sz="4"/>
          <w:insideH w:val="single" w:color="C9CDD3" w:sz="4"/>
          <w:insideV w:val="single" w:color="C9CDD3" w:sz="4"/>
        </w:tblBorders>
      </w:tblPr>
      <w:tblGrid>
        <w:gridCol w:w="3100"/>
        <w:gridCol w:w="6250"/>
      </w:tblGrid>
      <w:tr>
        <w:trPr>
          <w:cantSplit/>
        </w:trPr>
        <w:tc>
          <w:tcPr>
            <w:tcW w:type="dxa" w:w="310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Cliente</w:t>
            </w:r>
          </w:p>
        </w:tc>
        <w:tc>
          <w:tcPr>
            <w:tcW w:type="dxa" w:w="625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Sociedade Beneficente Israelita Brasileira Albert Einstein</w:t>
            </w:r>
          </w:p>
        </w:tc>
      </w:tr>
      <w:tr>
        <w:trPr>
          <w:cantSplit/>
        </w:trPr>
        <w:tc>
          <w:tcPr>
            <w:tcW w:type="dxa" w:w="3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Processo</w:t>
            </w:r>
          </w:p>
        </w:tc>
        <w:tc>
          <w:tcPr>
            <w:tcW w:type="dxa" w:w="62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RFP 2026 – Representante Condominial – Unidades Artur de Azevedo, Pinheiros e Parque Global</w:t>
            </w:r>
          </w:p>
        </w:tc>
      </w:tr>
      <w:tr>
        <w:trPr>
          <w:cantSplit/>
        </w:trPr>
        <w:tc>
          <w:tcPr>
            <w:tcW w:type="dxa" w:w="310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Apresentação</w:t>
            </w:r>
          </w:p>
        </w:tc>
        <w:tc>
          <w:tcPr>
            <w:tcW w:type="dxa" w:w="625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13/10/2026 · Microsoft Teams</w:t>
            </w:r>
          </w:p>
        </w:tc>
      </w:tr>
      <w:tr>
        <w:trPr>
          <w:cantSplit/>
        </w:trPr>
        <w:tc>
          <w:tcPr>
            <w:tcW w:type="dxa" w:w="3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Proponente</w:t>
            </w:r>
          </w:p>
        </w:tc>
        <w:tc>
          <w:tcPr>
            <w:tcW w:type="dxa" w:w="62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DF Síndicos Profissionais Ltda. — CNPJ 20.330.326/0001-94</w:t>
            </w:r>
          </w:p>
        </w:tc>
      </w:tr>
      <w:tr>
        <w:trPr>
          <w:cantSplit/>
        </w:trPr>
        <w:tc>
          <w:tcPr>
            <w:tcW w:type="dxa" w:w="310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Profissional titular</w:t>
            </w:r>
          </w:p>
        </w:tc>
        <w:tc>
          <w:tcPr>
            <w:tcW w:type="dxa" w:w="625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Denise Ferreira · CEO</w:t>
            </w:r>
          </w:p>
        </w:tc>
      </w:tr>
      <w:tr>
        <w:trPr>
          <w:cantSplit/>
        </w:trPr>
        <w:tc>
          <w:tcPr>
            <w:tcW w:type="dxa" w:w="3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Data</w:t>
            </w:r>
          </w:p>
        </w:tc>
        <w:tc>
          <w:tcPr>
            <w:tcW w:type="dxa" w:w="62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13/10/2026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F4162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2F4162"/>
          <w:sz w:val="26"/>
          <w:szCs w:val="26"/>
        </w:rPr>
        <w:t xml:space="preserve">1. Síntese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A DF Síndicos Profissionais propõe atuar como subsíndica profissional das três unidades do Einstein (Parque Global, Unidade Hospitalar Pinheiros e Espaço Einstein Artur de Azevedo), representando a Instituição nas instâncias condominiais com independência técnica, análise financeira e de rateio, e governança de voto que não admite manifestação sem autorização prévia e por escrito do Einstein.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Este relatório resume a defesa técnica apresentada em 13/10/2026 e formaliza os compromissos assumidos na reunião, inclusive o alinhamento dos SLAs à referência enviada pelo Einstein em 30/09/2026.</w:t>
      </w:r>
    </w:p>
    <w:p>
      <w:pPr>
        <w:keepNext/>
        <w:spacing w:before="220" w:after="100"/>
      </w:pPr>
      <w:r>
        <w:rPr>
          <w:rFonts w:ascii="Calibri" w:cs="Calibri" w:eastAsia="Calibri" w:hAnsi="Calibri"/>
          <w:b/>
          <w:bCs/>
          <w:color w:val="2F4162"/>
          <w:sz w:val="23"/>
          <w:szCs w:val="23"/>
        </w:rPr>
        <w:t xml:space="preserve">Compromissos centrais: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color w:val="1F2A37"/>
          <w:sz w:val="20"/>
          <w:szCs w:val="20"/>
        </w:rPr>
        <w:t xml:space="preserve">Titular dedicada (Denise Ferreira) com dois substitutos qualificados e retaguarda financeira, jurídica, de engenharia e de LGPD.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color w:val="1F2A37"/>
          <w:sz w:val="20"/>
          <w:szCs w:val="20"/>
        </w:rPr>
        <w:t xml:space="preserve">SLAs iguais ou melhores que a referência do Einstein em todos os níveis de criticidade.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color w:val="1F2A37"/>
          <w:sz w:val="20"/>
          <w:szCs w:val="20"/>
        </w:rPr>
        <w:t xml:space="preserve">Nenhum voto ou manifestação em nome do Einstein sem autorização escrita, inclusive em matérias de rotina.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color w:val="1F2A37"/>
          <w:sz w:val="20"/>
          <w:szCs w:val="20"/>
        </w:rPr>
        <w:t xml:space="preserve">Metodologia de rateio voltada a identificar e corrigir subsídios cruzados entre setores.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color w:val="1F2A37"/>
          <w:sz w:val="20"/>
          <w:szCs w:val="20"/>
        </w:rPr>
        <w:t xml:space="preserve">Aceite integral dos seis entregáveis previstos na RFP, com o primeiro relatório executivo em D+30.</w:t>
      </w:r>
    </w:p>
    <w:p>
      <w:pPr>
        <w:pStyle w:val="Heading1"/>
        <w:keepNext/>
        <w:pBdr>
          <w:bottom w:val="single" w:color="2F4162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2F4162"/>
          <w:sz w:val="26"/>
          <w:szCs w:val="26"/>
        </w:rPr>
        <w:t xml:space="preserve">2. O que entendemos das três unidades</w:t>
      </w:r>
    </w:p>
    <w:tbl>
      <w:tblPr>
        <w:tblW w:type="dxa" w:w="9350"/>
        <w:tblBorders>
          <w:top w:val="single" w:color="C9CDD3" w:sz="4"/>
          <w:left w:val="single" w:color="C9CDD3" w:sz="4"/>
          <w:bottom w:val="single" w:color="C9CDD3" w:sz="4"/>
          <w:right w:val="single" w:color="C9CDD3" w:sz="4"/>
          <w:insideH w:val="single" w:color="C9CDD3" w:sz="4"/>
          <w:insideV w:val="single" w:color="C9CDD3" w:sz="4"/>
        </w:tblBorders>
      </w:tblPr>
      <w:tblGrid>
        <w:gridCol w:w="1611"/>
        <w:gridCol w:w="3898"/>
        <w:gridCol w:w="3841"/>
      </w:tblGrid>
      <w:tr>
        <w:trPr>
          <w:cantSplit/>
          <w:tblHeader/>
        </w:trPr>
        <w:tc>
          <w:tcPr>
            <w:tcW w:type="dxa" w:w="1611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Unidade</w:t>
            </w:r>
          </w:p>
        </w:tc>
        <w:tc>
          <w:tcPr>
            <w:tcW w:type="dxa" w:w="3898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Situação do Einstein</w:t>
            </w:r>
          </w:p>
        </w:tc>
        <w:tc>
          <w:tcPr>
            <w:tcW w:type="dxa" w:w="3841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Foco da atuação</w:t>
            </w:r>
          </w:p>
        </w:tc>
      </w:tr>
      <w:tr>
        <w:trPr>
          <w:cantSplit/>
        </w:trPr>
        <w:tc>
          <w:tcPr>
            <w:tcW w:type="dxa" w:w="1611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Parque Global</w:t>
            </w:r>
          </w:p>
        </w:tc>
        <w:tc>
          <w:tcPr>
            <w:tcW w:type="dxa" w:w="389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Complexo multiuso, com setores e subcondomínios, despesas comuns e específicas e múltiplos stakeholders</w:t>
            </w:r>
          </w:p>
        </w:tc>
        <w:tc>
          <w:tcPr>
            <w:tcW w:type="dxa" w:w="3841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Governança setorial e segregação de despesas</w:t>
            </w:r>
          </w:p>
        </w:tc>
      </w:tr>
      <w:tr>
        <w:trPr>
          <w:cantSplit/>
        </w:trPr>
        <w:tc>
          <w:tcPr>
            <w:tcW w:type="dxa" w:w="1611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Unidade Hospitalar Pinheiros</w:t>
            </w:r>
          </w:p>
        </w:tc>
        <w:tc>
          <w:tcPr>
            <w:tcW w:type="dxa" w:w="3898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Ocupante majoritário (~95%), com sistemas críticos operados diretamente pelo Einstein; operação a partir de jan/2027</w:t>
            </w:r>
          </w:p>
        </w:tc>
        <w:tc>
          <w:tcPr>
            <w:tcW w:type="dxa" w:w="3841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Rateio dos sistemas críticos e acompanhamento da implantação</w:t>
            </w:r>
          </w:p>
        </w:tc>
      </w:tr>
      <w:tr>
        <w:trPr>
          <w:cantSplit/>
        </w:trPr>
        <w:tc>
          <w:tcPr>
            <w:tcW w:type="dxa" w:w="1611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Espaço Einstein Artur de Azevedo</w:t>
            </w:r>
          </w:p>
        </w:tc>
        <w:tc>
          <w:tcPr>
            <w:tcW w:type="dxa" w:w="389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Condômino minoritário (~1.400 m²) em edifício de terceiros</w:t>
            </w:r>
          </w:p>
        </w:tc>
        <w:tc>
          <w:tcPr>
            <w:tcW w:type="dxa" w:w="3841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Pagar apenas o que lhe cabe e defender as necessidades da operação de saúde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2F4162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2F4162"/>
          <w:sz w:val="26"/>
          <w:szCs w:val="26"/>
        </w:rPr>
        <w:t xml:space="preserve">3. O papel da DF: governança, não operação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A DF atua na esfera estratégica, institucional e de representação: representa o Einstein, analisa orçamento, rateio, contratos e contas, fiscaliza a administradora e recomenda posicionamentos. A operação diária, as equipes residentes, as contas a pagar e a receber e a elaboração de balancetes e prestações de contas permanecem com a administradora predial.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Essa separação garante que quem fiscaliza não seja quem executa. A atuação é de subsíndico setorial, nos termos da convenção: não substitui o Síndico Geral e respeita sempre as alçadas definidas pelo Einstein.</w:t>
      </w:r>
    </w:p>
    <w:p>
      <w:pPr>
        <w:pStyle w:val="Heading1"/>
        <w:keepNext/>
        <w:pBdr>
          <w:bottom w:val="single" w:color="2F4162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2F4162"/>
          <w:sz w:val="26"/>
          <w:szCs w:val="26"/>
        </w:rPr>
        <w:t xml:space="preserve">4. Equipe e dedicação</w:t>
      </w:r>
    </w:p>
    <w:tbl>
      <w:tblPr>
        <w:tblW w:type="dxa" w:w="9350"/>
        <w:tblBorders>
          <w:top w:val="single" w:color="C9CDD3" w:sz="4"/>
          <w:left w:val="single" w:color="C9CDD3" w:sz="4"/>
          <w:bottom w:val="single" w:color="C9CDD3" w:sz="4"/>
          <w:right w:val="single" w:color="C9CDD3" w:sz="4"/>
          <w:insideH w:val="single" w:color="C9CDD3" w:sz="4"/>
          <w:insideV w:val="single" w:color="C9CDD3" w:sz="4"/>
        </w:tblBorders>
      </w:tblPr>
      <w:tblGrid>
        <w:gridCol w:w="5427"/>
        <w:gridCol w:w="3923"/>
      </w:tblGrid>
      <w:tr>
        <w:trPr>
          <w:cantSplit/>
          <w:tblHeader/>
        </w:trPr>
        <w:tc>
          <w:tcPr>
            <w:tcW w:type="dxa" w:w="5427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Função</w:t>
            </w:r>
          </w:p>
        </w:tc>
        <w:tc>
          <w:tcPr>
            <w:tcW w:type="dxa" w:w="3923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Profissional</w:t>
            </w:r>
          </w:p>
        </w:tc>
      </w:tr>
      <w:tr>
        <w:trPr>
          <w:cantSplit/>
        </w:trPr>
        <w:tc>
          <w:tcPr>
            <w:tcW w:type="dxa" w:w="5427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Titular: interlocução, assembleias e governança</w:t>
            </w:r>
          </w:p>
        </w:tc>
        <w:tc>
          <w:tcPr>
            <w:tcW w:type="dxa" w:w="392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Denise Ferreira (CEO)</w:t>
            </w:r>
          </w:p>
        </w:tc>
      </w:tr>
      <w:tr>
        <w:trPr>
          <w:cantSplit/>
        </w:trPr>
        <w:tc>
          <w:tcPr>
            <w:tcW w:type="dxa" w:w="5427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Substituta: jurídico, contratos e convenção</w:t>
            </w:r>
          </w:p>
        </w:tc>
        <w:tc>
          <w:tcPr>
            <w:tcW w:type="dxa" w:w="3923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Amanda Tigre (Sócia Diretora)</w:t>
            </w:r>
          </w:p>
        </w:tc>
      </w:tr>
      <w:tr>
        <w:trPr>
          <w:cantSplit/>
        </w:trPr>
        <w:tc>
          <w:tcPr>
            <w:tcW w:type="dxa" w:w="5427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Substituto: engenharia, operação e sistemas críticos</w:t>
            </w:r>
          </w:p>
        </w:tc>
        <w:tc>
          <w:tcPr>
            <w:tcW w:type="dxa" w:w="392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Caio Gavioli (Diretor de Operações)</w:t>
            </w:r>
          </w:p>
        </w:tc>
      </w:tr>
      <w:tr>
        <w:trPr>
          <w:cantSplit/>
        </w:trPr>
        <w:tc>
          <w:tcPr>
            <w:tcW w:type="dxa" w:w="5427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Financeiro: balancetes, orçamento e rateio</w:t>
            </w:r>
          </w:p>
        </w:tc>
        <w:tc>
          <w:tcPr>
            <w:tcW w:type="dxa" w:w="3923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Marco Murino (Gerente Financeiro)</w:t>
            </w:r>
          </w:p>
        </w:tc>
      </w:tr>
      <w:tr>
        <w:trPr>
          <w:cantSplit/>
        </w:trPr>
        <w:tc>
          <w:tcPr>
            <w:tcW w:type="dxa" w:w="5427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Proteção de dados (LGPD)</w:t>
            </w:r>
          </w:p>
        </w:tc>
        <w:tc>
          <w:tcPr>
            <w:tcW w:type="dxa" w:w="392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Cláudia De Santi (Diretora de LGPD)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C9CDD3" w:sz="4"/>
          <w:left w:val="single" w:color="C9CDD3" w:sz="4"/>
          <w:bottom w:val="single" w:color="C9CDD3" w:sz="4"/>
          <w:right w:val="single" w:color="C9CDD3" w:sz="4"/>
          <w:insideH w:val="single" w:color="C9CDD3" w:sz="4"/>
          <w:insideV w:val="single" w:color="C9CDD3" w:sz="4"/>
        </w:tblBorders>
      </w:tblPr>
      <w:tblGrid>
        <w:gridCol w:w="1265"/>
        <w:gridCol w:w="2365"/>
        <w:gridCol w:w="5720"/>
      </w:tblGrid>
      <w:tr>
        <w:trPr>
          <w:cantSplit/>
          <w:tblHeader/>
        </w:trPr>
        <w:tc>
          <w:tcPr>
            <w:tcW w:type="dxa" w:w="1265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Unidade</w:t>
            </w:r>
          </w:p>
        </w:tc>
        <w:tc>
          <w:tcPr>
            <w:tcW w:type="dxa" w:w="2365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Dedicação</w:t>
            </w:r>
          </w:p>
        </w:tc>
        <w:tc>
          <w:tcPr>
            <w:tcW w:type="dxa" w:w="5720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Presença</w:t>
            </w:r>
          </w:p>
        </w:tc>
      </w:tr>
      <w:tr>
        <w:trPr>
          <w:cantSplit/>
        </w:trPr>
        <w:tc>
          <w:tcPr>
            <w:tcW w:type="dxa" w:w="126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Parque Global</w:t>
            </w:r>
          </w:p>
        </w:tc>
        <w:tc>
          <w:tcPr>
            <w:tcW w:type="dxa" w:w="236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46 h/mês</w:t>
            </w:r>
          </w:p>
        </w:tc>
        <w:tc>
          <w:tcPr>
            <w:tcW w:type="dxa" w:w="57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Visitas semanais de 6 h da titular, visita técnica mensal e todas as assembleias</w:t>
            </w:r>
          </w:p>
        </w:tc>
      </w:tr>
      <w:tr>
        <w:trPr>
          <w:cantSplit/>
        </w:trPr>
        <w:tc>
          <w:tcPr>
            <w:tcW w:type="dxa" w:w="1265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Pinheiros</w:t>
            </w:r>
          </w:p>
        </w:tc>
        <w:tc>
          <w:tcPr>
            <w:tcW w:type="dxa" w:w="2365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48 h/mês até jun/2027; 28 h/mês depois</w:t>
            </w:r>
          </w:p>
        </w:tc>
        <w:tc>
          <w:tcPr>
            <w:tcW w:type="dxa" w:w="572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Semanal na implantação, quinzenal depois; 2 visitas técnicas/mês na implantação</w:t>
            </w:r>
          </w:p>
        </w:tc>
      </w:tr>
      <w:tr>
        <w:trPr>
          <w:cantSplit/>
        </w:trPr>
        <w:tc>
          <w:tcPr>
            <w:tcW w:type="dxa" w:w="126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Artur de Azevedo</w:t>
            </w:r>
          </w:p>
        </w:tc>
        <w:tc>
          <w:tcPr>
            <w:tcW w:type="dxa" w:w="236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~14 h/mês</w:t>
            </w:r>
          </w:p>
        </w:tc>
        <w:tc>
          <w:tcPr>
            <w:tcW w:type="dxa" w:w="57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Visita mensal, visita técnica trimestral e todas as assembleias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2F4162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2F4162"/>
          <w:sz w:val="26"/>
          <w:szCs w:val="26"/>
        </w:rPr>
        <w:t xml:space="preserve">5. SLAs alinhados à referência do Einstein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Os prazos abaixo substituem os da proposta técnica de 01/10/2026 onde forem mais exigentes: a primeira resposta da demanda ordinária passa a ser de 1 dia útil, e a demanda crítica passa a contar com plano de ação em até 4 horas.</w:t>
      </w:r>
    </w:p>
    <w:tbl>
      <w:tblPr>
        <w:tblW w:type="dxa" w:w="9350"/>
        <w:tblBorders>
          <w:top w:val="single" w:color="C9CDD3" w:sz="4"/>
          <w:left w:val="single" w:color="C9CDD3" w:sz="4"/>
          <w:bottom w:val="single" w:color="C9CDD3" w:sz="4"/>
          <w:right w:val="single" w:color="C9CDD3" w:sz="4"/>
          <w:insideH w:val="single" w:color="C9CDD3" w:sz="4"/>
          <w:insideV w:val="single" w:color="C9CDD3" w:sz="4"/>
        </w:tblBorders>
      </w:tblPr>
      <w:tblGrid>
        <w:gridCol w:w="1475"/>
        <w:gridCol w:w="2678"/>
        <w:gridCol w:w="5197"/>
      </w:tblGrid>
      <w:tr>
        <w:trPr>
          <w:cantSplit/>
          <w:tblHeader/>
        </w:trPr>
        <w:tc>
          <w:tcPr>
            <w:tcW w:type="dxa" w:w="1475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Criticidade</w:t>
            </w:r>
          </w:p>
        </w:tc>
        <w:tc>
          <w:tcPr>
            <w:tcW w:type="dxa" w:w="2678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Referência Einstein</w:t>
            </w:r>
          </w:p>
        </w:tc>
        <w:tc>
          <w:tcPr>
            <w:tcW w:type="dxa" w:w="5197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Compromisso DF</w:t>
            </w:r>
          </w:p>
        </w:tc>
      </w:tr>
      <w:tr>
        <w:trPr>
          <w:cantSplit/>
        </w:trPr>
        <w:tc>
          <w:tcPr>
            <w:tcW w:type="dxa" w:w="147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Crítica</w:t>
            </w:r>
          </w:p>
        </w:tc>
        <w:tc>
          <w:tcPr>
            <w:tcW w:type="dxa" w:w="267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1 h · 4 h ou plano de ação imediato</w:t>
            </w:r>
          </w:p>
        </w:tc>
        <w:tc>
          <w:tcPr>
            <w:tcW w:type="dxa" w:w="5197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30 min, por telefone, 24x7 · plano de ação em até 4 h · presença em até 6 h</w:t>
            </w:r>
          </w:p>
        </w:tc>
      </w:tr>
      <w:tr>
        <w:trPr>
          <w:cantSplit/>
        </w:trPr>
        <w:tc>
          <w:tcPr>
            <w:tcW w:type="dxa" w:w="1475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Urgente</w:t>
            </w:r>
          </w:p>
        </w:tc>
        <w:tc>
          <w:tcPr>
            <w:tcW w:type="dxa" w:w="2678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4 h · 1 dia útil</w:t>
            </w:r>
          </w:p>
        </w:tc>
        <w:tc>
          <w:tcPr>
            <w:tcW w:type="dxa" w:w="5197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2 h úteis, por telefone · 1 dia útil</w:t>
            </w:r>
          </w:p>
        </w:tc>
      </w:tr>
      <w:tr>
        <w:trPr>
          <w:cantSplit/>
        </w:trPr>
        <w:tc>
          <w:tcPr>
            <w:tcW w:type="dxa" w:w="147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Ordinária</w:t>
            </w:r>
          </w:p>
        </w:tc>
        <w:tc>
          <w:tcPr>
            <w:tcW w:type="dxa" w:w="267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1 dia útil · 5 dias úteis</w:t>
            </w:r>
          </w:p>
        </w:tc>
        <w:tc>
          <w:tcPr>
            <w:tcW w:type="dxa" w:w="5197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1 dia útil · 5 dias úteis</w:t>
            </w:r>
          </w:p>
        </w:tc>
      </w:tr>
      <w:tr>
        <w:trPr>
          <w:cantSplit/>
        </w:trPr>
        <w:tc>
          <w:tcPr>
            <w:tcW w:type="dxa" w:w="1475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Complexa</w:t>
            </w:r>
          </w:p>
        </w:tc>
        <w:tc>
          <w:tcPr>
            <w:tcW w:type="dxa" w:w="2678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2 dias úteis · prazo acordado</w:t>
            </w:r>
          </w:p>
        </w:tc>
        <w:tc>
          <w:tcPr>
            <w:tcW w:type="dxa" w:w="5197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1 dia útil, com prazo proposto · até 10 dias úteis, com prévia em 5</w:t>
            </w:r>
          </w:p>
        </w:tc>
      </w:tr>
    </w:tbl>
    <w:p>
      <w:pPr>
        <w:spacing w:after="120"/>
      </w:pPr>
    </w:p>
    <w:p>
      <w:pPr>
        <w:spacing w:after="150" w:line="300"/>
        <w:jc w:val="both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Pareceres para assembleia: até 3 dias úteis após o edital e, no mínimo, 5 dias úteis antes da assembleia, para que o Einstein cumpra suas alçadas internas.</w:t>
      </w:r>
    </w:p>
    <w:p>
      <w:pPr>
        <w:pStyle w:val="Heading1"/>
        <w:keepNext/>
        <w:pBdr>
          <w:bottom w:val="single" w:color="2F4162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2F4162"/>
          <w:sz w:val="26"/>
          <w:szCs w:val="26"/>
        </w:rPr>
        <w:t xml:space="preserve">6. Governança e autorização de votos</w:t>
      </w:r>
    </w:p>
    <w:tbl>
      <w:tblPr>
        <w:tblW w:type="dxa" w:w="9350"/>
        <w:tblBorders>
          <w:top w:val="single" w:color="C9CDD3" w:sz="4"/>
          <w:left w:val="single" w:color="C9CDD3" w:sz="4"/>
          <w:bottom w:val="single" w:color="C9CDD3" w:sz="4"/>
          <w:right w:val="single" w:color="C9CDD3" w:sz="4"/>
          <w:insideH w:val="single" w:color="C9CDD3" w:sz="4"/>
          <w:insideV w:val="single" w:color="C9CDD3" w:sz="4"/>
        </w:tblBorders>
      </w:tblPr>
      <w:tblGrid>
        <w:gridCol w:w="1685"/>
        <w:gridCol w:w="5407"/>
        <w:gridCol w:w="2258"/>
      </w:tblGrid>
      <w:tr>
        <w:trPr>
          <w:cantSplit/>
          <w:tblHeader/>
        </w:trPr>
        <w:tc>
          <w:tcPr>
            <w:tcW w:type="dxa" w:w="1685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5407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acontece</w:t>
            </w:r>
          </w:p>
        </w:tc>
        <w:tc>
          <w:tcPr>
            <w:tcW w:type="dxa" w:w="2258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Prazo</w:t>
            </w:r>
          </w:p>
        </w:tc>
      </w:tr>
      <w:tr>
        <w:trPr>
          <w:cantSplit/>
        </w:trPr>
        <w:tc>
          <w:tcPr>
            <w:tcW w:type="dxa" w:w="168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1. Classificação</w:t>
            </w:r>
          </w:p>
        </w:tc>
        <w:tc>
          <w:tcPr>
            <w:tcW w:type="dxa" w:w="5407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Pauta classificada em rotina ou estratégica</w:t>
            </w:r>
          </w:p>
        </w:tc>
        <w:tc>
          <w:tcPr>
            <w:tcW w:type="dxa" w:w="225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1 dia útil após o edital</w:t>
            </w:r>
          </w:p>
        </w:tc>
      </w:tr>
      <w:tr>
        <w:trPr>
          <w:cantSplit/>
        </w:trPr>
        <w:tc>
          <w:tcPr>
            <w:tcW w:type="dxa" w:w="1685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2. Análise</w:t>
            </w:r>
          </w:p>
        </w:tc>
        <w:tc>
          <w:tcPr>
            <w:tcW w:type="dxa" w:w="5407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Nota (rotina) ou parecer completo (estratégica), com recomendação</w:t>
            </w:r>
          </w:p>
        </w:tc>
        <w:tc>
          <w:tcPr>
            <w:tcW w:type="dxa" w:w="2258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3 dias úteis após o edital</w:t>
            </w:r>
          </w:p>
        </w:tc>
      </w:tr>
      <w:tr>
        <w:trPr>
          <w:cantSplit/>
        </w:trPr>
        <w:tc>
          <w:tcPr>
            <w:tcW w:type="dxa" w:w="168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3. Alinhamento</w:t>
            </w:r>
          </w:p>
        </w:tc>
        <w:tc>
          <w:tcPr>
            <w:tcW w:type="dxa" w:w="5407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Reunião ou call com os representantes do Einstein</w:t>
            </w:r>
          </w:p>
        </w:tc>
        <w:tc>
          <w:tcPr>
            <w:tcW w:type="dxa" w:w="225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antes da autorização</w:t>
            </w:r>
          </w:p>
        </w:tc>
      </w:tr>
      <w:tr>
        <w:trPr>
          <w:cantSplit/>
        </w:trPr>
        <w:tc>
          <w:tcPr>
            <w:tcW w:type="dxa" w:w="1685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4. Autorização</w:t>
            </w:r>
          </w:p>
        </w:tc>
        <w:tc>
          <w:tcPr>
            <w:tcW w:type="dxa" w:w="5407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Orientação de voto por escrito, conforme alçadas</w:t>
            </w:r>
          </w:p>
        </w:tc>
        <w:tc>
          <w:tcPr>
            <w:tcW w:type="dxa" w:w="2258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antes da assembleia</w:t>
            </w:r>
          </w:p>
        </w:tc>
      </w:tr>
      <w:tr>
        <w:trPr>
          <w:cantSplit/>
        </w:trPr>
        <w:tc>
          <w:tcPr>
            <w:tcW w:type="dxa" w:w="168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5. Assembleia</w:t>
            </w:r>
          </w:p>
        </w:tc>
        <w:tc>
          <w:tcPr>
            <w:tcW w:type="dxa" w:w="5407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Voto exatamente conforme autorizado</w:t>
            </w:r>
          </w:p>
        </w:tc>
        <w:tc>
          <w:tcPr>
            <w:tcW w:type="dxa" w:w="225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na assembleia</w:t>
            </w:r>
          </w:p>
        </w:tc>
      </w:tr>
      <w:tr>
        <w:trPr>
          <w:cantSplit/>
        </w:trPr>
        <w:tc>
          <w:tcPr>
            <w:tcW w:type="dxa" w:w="1685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6. Registro</w:t>
            </w:r>
          </w:p>
        </w:tc>
        <w:tc>
          <w:tcPr>
            <w:tcW w:type="dxa" w:w="5407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Deliberações e recomendações registradas</w:t>
            </w:r>
          </w:p>
        </w:tc>
        <w:tc>
          <w:tcPr>
            <w:tcW w:type="dxa" w:w="2258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até 5 dias úteis após</w:t>
            </w:r>
          </w:p>
        </w:tc>
      </w:tr>
    </w:tbl>
    <w:p>
      <w:pPr>
        <w:spacing w:after="120"/>
      </w:pPr>
    </w:p>
    <w:p>
      <w:pPr>
        <w:spacing w:after="150" w:line="300"/>
        <w:jc w:val="both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Imprevistos em assembleia (tema fora de pauta ou proposta diferente da analisada): a DF se abstém, pede ressalva em ata ou adiamento e comunica o Einstein no mesmo dia.</w:t>
      </w:r>
    </w:p>
    <w:p>
      <w:pPr>
        <w:pStyle w:val="Heading1"/>
        <w:keepNext/>
        <w:pBdr>
          <w:bottom w:val="single" w:color="2F4162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2F4162"/>
          <w:sz w:val="26"/>
          <w:szCs w:val="26"/>
        </w:rPr>
        <w:t xml:space="preserve">7. Metodologia de rateio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Diagnóstico (até D+60):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convenção, especificação, frações, contratos, orçamento e 12 balancetes; entrevistas e visita técnica; matriz de critério por conta com fundamento na convenção; relatório situação atual × situação correta.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Rotina mensal: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revisão do balancete contra orçamento e contratos; conferência das pastas por amostragem; parecer sempre que uma conta variar ±5% do previsto.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Orçamento e eventos: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revisão da matriz na Previsão Orçamentária, simulação do rateio por setor, revisão em novo contrato, obra ou mudança de ocupação, e proposta formal de correção em assembleia.</w:t>
      </w:r>
    </w:p>
    <w:p>
      <w:pPr>
        <w:pStyle w:val="Heading1"/>
        <w:keepNext/>
        <w:pBdr>
          <w:bottom w:val="single" w:color="2F4162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2F4162"/>
          <w:sz w:val="26"/>
          <w:szCs w:val="26"/>
        </w:rPr>
        <w:t xml:space="preserve">8. Entregáveis e mobilização</w:t>
      </w:r>
    </w:p>
    <w:tbl>
      <w:tblPr>
        <w:tblW w:type="dxa" w:w="9350"/>
        <w:tblBorders>
          <w:top w:val="single" w:color="C9CDD3" w:sz="4"/>
          <w:left w:val="single" w:color="C9CDD3" w:sz="4"/>
          <w:bottom w:val="single" w:color="C9CDD3" w:sz="4"/>
          <w:right w:val="single" w:color="C9CDD3" w:sz="4"/>
          <w:insideH w:val="single" w:color="C9CDD3" w:sz="4"/>
          <w:insideV w:val="single" w:color="C9CDD3" w:sz="4"/>
        </w:tblBorders>
      </w:tblPr>
      <w:tblGrid>
        <w:gridCol w:w="3848"/>
        <w:gridCol w:w="3805"/>
        <w:gridCol w:w="1697"/>
      </w:tblGrid>
      <w:tr>
        <w:trPr>
          <w:cantSplit/>
          <w:tblHeader/>
        </w:trPr>
        <w:tc>
          <w:tcPr>
            <w:tcW w:type="dxa" w:w="3848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Entregável</w:t>
            </w:r>
          </w:p>
        </w:tc>
        <w:tc>
          <w:tcPr>
            <w:tcW w:type="dxa" w:w="3805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Periodicidade</w:t>
            </w:r>
          </w:p>
        </w:tc>
        <w:tc>
          <w:tcPr>
            <w:tcW w:type="dxa" w:w="1697"/>
            <w:shd w:fill="2F416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Primeira entrega</w:t>
            </w:r>
          </w:p>
        </w:tc>
      </w:tr>
      <w:tr>
        <w:trPr>
          <w:cantSplit/>
        </w:trPr>
        <w:tc>
          <w:tcPr>
            <w:tcW w:type="dxa" w:w="384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Relatório executivo mensal</w:t>
            </w:r>
          </w:p>
        </w:tc>
        <w:tc>
          <w:tcPr>
            <w:tcW w:type="dxa" w:w="380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Mensal</w:t>
            </w:r>
          </w:p>
        </w:tc>
        <w:tc>
          <w:tcPr>
            <w:tcW w:type="dxa" w:w="1697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D+30</w:t>
            </w:r>
          </w:p>
        </w:tc>
      </w:tr>
      <w:tr>
        <w:trPr>
          <w:cantSplit/>
        </w:trPr>
        <w:tc>
          <w:tcPr>
            <w:tcW w:type="dxa" w:w="3848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Dashboard orçamentário e de rateio</w:t>
            </w:r>
          </w:p>
        </w:tc>
        <w:tc>
          <w:tcPr>
            <w:tcW w:type="dxa" w:w="3805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Relatório gráfico mensal</w:t>
            </w:r>
          </w:p>
        </w:tc>
        <w:tc>
          <w:tcPr>
            <w:tcW w:type="dxa" w:w="1697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D+90</w:t>
            </w:r>
          </w:p>
        </w:tc>
      </w:tr>
      <w:tr>
        <w:trPr>
          <w:cantSplit/>
        </w:trPr>
        <w:tc>
          <w:tcPr>
            <w:tcW w:type="dxa" w:w="384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Pareceres técnicos</w:t>
            </w:r>
          </w:p>
        </w:tc>
        <w:tc>
          <w:tcPr>
            <w:tcW w:type="dxa" w:w="380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Sob demanda, nos prazos do item 5</w:t>
            </w:r>
          </w:p>
        </w:tc>
        <w:tc>
          <w:tcPr>
            <w:tcW w:type="dxa" w:w="1697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Conforme demanda</w:t>
            </w:r>
          </w:p>
        </w:tc>
      </w:tr>
      <w:tr>
        <w:trPr>
          <w:cantSplit/>
        </w:trPr>
        <w:tc>
          <w:tcPr>
            <w:tcW w:type="dxa" w:w="3848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Matriz de riscos e plano de mitigação</w:t>
            </w:r>
          </w:p>
        </w:tc>
        <w:tc>
          <w:tcPr>
            <w:tcW w:type="dxa" w:w="3805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Trimestral ou por risco novo relevante</w:t>
            </w:r>
          </w:p>
        </w:tc>
        <w:tc>
          <w:tcPr>
            <w:tcW w:type="dxa" w:w="1697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D+60</w:t>
            </w:r>
          </w:p>
        </w:tc>
      </w:tr>
      <w:tr>
        <w:trPr>
          <w:cantSplit/>
        </w:trPr>
        <w:tc>
          <w:tcPr>
            <w:tcW w:type="dxa" w:w="384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Registro de deliberações de assembleia</w:t>
            </w:r>
          </w:p>
        </w:tc>
        <w:tc>
          <w:tcPr>
            <w:tcW w:type="dxa" w:w="380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Até 5 dias úteis após cada assembleia</w:t>
            </w:r>
          </w:p>
        </w:tc>
        <w:tc>
          <w:tcPr>
            <w:tcW w:type="dxa" w:w="1697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Primeira assembleia</w:t>
            </w:r>
          </w:p>
        </w:tc>
      </w:tr>
      <w:tr>
        <w:trPr>
          <w:cantSplit/>
        </w:trPr>
        <w:tc>
          <w:tcPr>
            <w:tcW w:type="dxa" w:w="3848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Plano de ação</w:t>
            </w:r>
          </w:p>
        </w:tc>
        <w:tc>
          <w:tcPr>
            <w:tcW w:type="dxa" w:w="3805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Acompanhamento mensal</w:t>
            </w:r>
          </w:p>
        </w:tc>
        <w:tc>
          <w:tcPr>
            <w:tcW w:type="dxa" w:w="1697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D+60</w:t>
            </w:r>
          </w:p>
        </w:tc>
      </w:tr>
    </w:tbl>
    <w:p>
      <w:pPr>
        <w:spacing w:after="120"/>
      </w:pPr>
    </w:p>
    <w:p>
      <w:pPr>
        <w:spacing w:after="150" w:line="300"/>
        <w:jc w:val="both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Mobilização: kick-off na semana 1, apresentação aos interlocutores e pedido de documentos nas semanas 1 e 2, imersão nas semanas 2 a 4, diagnóstico até D+60 e operação plena a partir de D+90. A Previsão Orçamentária 2027, se ainda não aprovada, será revisada com prioridade.</w:t>
      </w:r>
    </w:p>
    <w:p>
      <w:pPr>
        <w:pStyle w:val="Heading1"/>
        <w:keepNext/>
        <w:pBdr>
          <w:bottom w:val="single" w:color="2F4162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2F4162"/>
          <w:sz w:val="26"/>
          <w:szCs w:val="26"/>
        </w:rPr>
        <w:t xml:space="preserve">9. Experiência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SPHQ I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(São Paulo, condomínio geral + três subcondomínios; DF síndica desde 2014): rateio único por fração ideal substituído por um Coeficiente de Rateio de Despesas aprovado em assembleia. Cada subcondomínio passou a pagar só o que é seu.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17007 Nações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(São Paulo, duas torres + garagem + mall; DF síndica desde 2025): subcondomínio garagem pagava acima das despesas reais; rateio corrigido e diferença redistribuída entre as torres ocupantes.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O Parque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(São Paulo, complexo multiuso com torre do Hospital Sírio-Libanês; DF síndica desde 2026): implantação de condomínio multiuso com operação hospitalar e sistemas críticos.</w:t>
      </w:r>
    </w:p>
    <w:p>
      <w:pPr>
        <w:pStyle w:val="Heading1"/>
        <w:keepNext/>
        <w:pBdr>
          <w:bottom w:val="single" w:color="2F4162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2F4162"/>
          <w:sz w:val="26"/>
          <w:szCs w:val="26"/>
        </w:rPr>
        <w:t xml:space="preserve">10. Ferramentas de controle da DF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Ferramentas próprias da DF que sustentam a fiscalização e os SLAs propostos: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Boletim Diário de Operações: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checklist diário em etapas no celular do gerente predial, com painel de vários condomínios, indicadores, matriz de risco de SLA, registro de ocorrências e relatório executivo.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Triagem diária de demandas: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rotina automática que, todos os dias às 7h30, identifica pedidos e prazos recebidos por e-mail, atualiza o quadro de acompanhamento e envia o resumo do que está em aberto.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Cobrança semanal de documentação: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rotina automática que separa, por condomínio, os documentos a vencer e vencidos e envia a cobrança somente a destinatários confirmados.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Relatórios técnicos: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apuração de incidentes com múltiplos prestadores (análise técnica e jurídica, cronologia, cobertura de apólices e plano de ação) e auditoria e conciliação financeira de contratos de administração predial.</w:t>
      </w:r>
    </w:p>
    <w:p>
      <w:pPr>
        <w:pStyle w:val="Heading1"/>
        <w:keepNext/>
        <w:pBdr>
          <w:bottom w:val="single" w:color="2F4162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2F4162"/>
          <w:sz w:val="26"/>
          <w:szCs w:val="26"/>
        </w:rPr>
        <w:t xml:space="preserve">11. Escopo e premissas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Incluído na mensalidade: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equipe titular, substitutos e retaguarda; visitas; deslocamento, estacionamento e alimentação na Grande São Paulo; assembleias ordinárias e extraordinárias; plantão 24x7; todos os entregáveis; pareceres da equipe DF; seguro de RC profissional e geral; tributos.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Somente com autorização prévia do Einstein, orçados à parte: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laudos e perícias de terceiros; escritórios externos e processos judiciais; auditoria independente; custas cartoriais; viagens fora da Grande São Paulo.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b/>
          <w:bCs/>
          <w:color w:val="1F2A37"/>
          <w:sz w:val="20"/>
          <w:szCs w:val="20"/>
        </w:rPr>
        <w:t xml:space="preserve">Papel da administradora:</w:t>
      </w:r>
      <w:r>
        <w:rPr>
          <w:rFonts w:ascii="Calibri" w:cs="Calibri" w:eastAsia="Calibri" w:hAnsi="Calibri"/>
          <w:color w:val="1F2A37"/>
          <w:sz w:val="20"/>
          <w:szCs w:val="20"/>
        </w:rPr>
        <w:t xml:space="preserve"> operação diária, equipes, contas a pagar e receber, elaboração de balancetes e prestação de contas, compras e arquivo físico. A DF analisa, valida e fiscaliza esses processos.</w:t>
      </w:r>
    </w:p>
    <w:p>
      <w:pPr>
        <w:pStyle w:val="Heading1"/>
        <w:keepNext/>
        <w:pBdr>
          <w:bottom w:val="single" w:color="2F4162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2F4162"/>
          <w:sz w:val="26"/>
          <w:szCs w:val="26"/>
        </w:rPr>
        <w:t xml:space="preserve">12. Próximos passos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color w:val="1F2A37"/>
          <w:sz w:val="20"/>
          <w:szCs w:val="20"/>
        </w:rPr>
        <w:t xml:space="preserve">A DF permanece à disposição para a fase de equalização e para qualquer esclarecimento adicional.</w:t>
      </w:r>
    </w:p>
    <w:p>
      <w:pPr>
        <w:pStyle w:val="ListParagraph"/>
        <w:numPr>
          <w:ilvl w:val="0"/>
          <w:numId w:val="1"/>
        </w:numPr>
        <w:spacing w:after="110" w:line="290"/>
        <w:ind w:left="360"/>
        <w:jc w:val="both"/>
      </w:pPr>
      <w:r>
        <w:rPr>
          <w:rFonts w:ascii="Calibri" w:cs="Calibri" w:eastAsia="Calibri" w:hAnsi="Calibri"/>
          <w:color w:val="1F2A37"/>
          <w:sz w:val="20"/>
          <w:szCs w:val="20"/>
        </w:rPr>
        <w:t xml:space="preserve">Kick-off em até 5 dias úteis após a contratação.</w:t>
      </w:r>
    </w:p>
    <w:p>
      <w:pPr>
        <w:keepNext/>
        <w:spacing w:before="480" w:after="0"/>
      </w:pPr>
    </w:p>
    <w:p>
      <w:pPr>
        <w:keepNext/>
        <w:spacing w:after="40"/>
      </w:pPr>
      <w:r>
        <w:rPr>
          <w:rFonts w:ascii="Calibri" w:cs="Calibri" w:eastAsia="Calibri" w:hAnsi="Calibri"/>
          <w:color w:val="5B6470"/>
          <w:sz w:val="21"/>
          <w:szCs w:val="21"/>
        </w:rPr>
        <w:t xml:space="preserve">__________________________________________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color w:val="2F4162"/>
          <w:sz w:val="21"/>
          <w:szCs w:val="21"/>
        </w:rPr>
        <w:t xml:space="preserve">Denise Ferreira</w:t>
      </w:r>
    </w:p>
    <w:p>
      <w:pPr>
        <w:spacing w:after="0"/>
      </w:pPr>
      <w:r>
        <w:rPr>
          <w:rFonts w:ascii="Calibri" w:cs="Calibri" w:eastAsia="Calibri" w:hAnsi="Calibri"/>
          <w:color w:val="5B6470"/>
          <w:sz w:val="19"/>
          <w:szCs w:val="19"/>
        </w:rPr>
        <w:t xml:space="preserve">Sócia-diretora · DF Síndicos Profissionais Ltda.</w:t>
      </w:r>
    </w:p>
    <w:sectPr>
      <w:footerReference w:type="default" r:id="rId7"/>
      <w:pgSz w:w="11906" w:h="16838" w:orient="portrait"/>
      <w:pgMar w:top="950" w:right="1000" w:bottom="9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AE6D" w:sz="8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2F4162"/>
        <w:sz w:val="15"/>
        <w:szCs w:val="15"/>
      </w:rPr>
      <w:t xml:space="preserve">DF SÍNDICOS PROFISSIONAIS</w:t>
    </w:r>
    <w:r>
      <w:rPr>
        <w:rFonts w:ascii="Calibri" w:cs="Calibri" w:eastAsia="Calibri" w:hAnsi="Calibri"/>
        <w:i/>
        <w:iCs/>
        <w:color w:val="5B6470"/>
        <w:sz w:val="15"/>
        <w:szCs w:val="15"/>
      </w:rPr>
      <w:t xml:space="preserve">  ·  Relatório Executivo · Einstein  —  Confidencial  ·  www.dfsindicos.com.br</w:t>
    </w:r>
    <w:r>
      <w:rPr>
        <w:rFonts w:ascii="Calibri" w:cs="Calibri" w:eastAsia="Calibri" w:hAnsi="Calibri"/>
        <w:i/>
        <w:iCs/>
        <w:color w:val="5B6470"/>
        <w:sz w:val="15"/>
        <w:szCs w:val="15"/>
      </w:rPr>
      <w:t xml:space="preserve">	Página </w:t>
    </w:r>
    <w:r>
      <w:rPr>
        <w:rFonts w:ascii="Calibri" w:cs="Calibri" w:eastAsia="Calibri" w:hAnsi="Calibri"/>
        <w:i/>
        <w:iCs/>
        <w:color w:val="5B647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9e9fce57de8da4069c1d127bbcf0e1730e56717.png"/><Relationship Id="rId2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2026-09-22T00:55:28.154Z</dcterms:created>
  <dcterms:modified xsi:type="dcterms:W3CDTF">2026-09-22T00:55:28.160Z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