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Prezado João,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Segue o relatório mensal referente ao desempenho do seu portfólio e à análise do cenário macroeconômico que pode impactar suas estratégias de investimento. Nosso compromisso é proporcionar uma visão clara e fundamentada, alinhada ao seu perfil de risco e objetivos financeiros.</w:t>
      </w:r>
    </w:p>
    <w:p w:rsidR="00000000" w:rsidDel="00000000" w:rsidP="00000000" w:rsidRDefault="00000000" w:rsidRPr="00000000" w14:paraId="00000003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Seu portfólio apresentou um retorno total de 3,5%, ligeiramente abaixo do benchmark, que registrou uma performance superior em 0,2 pontos percentuais. O destaque positivo veio dos fundos de investimento, que, juntos, alcançaram um retorno de 17,4%, impulsionados pelos resultados expressivos do Riza Lotus Plus Advisory Fund e do Brave I Fund, ambos superando as expectativas. Por outro lado, as ações individuais, como HAPV3 e ARZZ3, apresentaram quedas significativas, impactando negativamente a performance geral do segmento de ações, que atualmente representa 19,32% do portfólio. As alocações em renda fixa mantiveram-se estáveis, com uma contribuição firme do CDB Banco C6, totalizando 12,97% do portfólio. Neste mês, optamos por não realizar realocações significativas, pois continuamos monitorando de perto o desempenho das ações, ao mesmo tempo em que mantemos uma posição robusta em fundos de investimento alternativos, que demonstraram resiliência. Assim, o portfólio permanece bem posicionado, focando no crescimento de longo prazo, mesmo diante da volatilidade recente em algumas classes de ativos.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 que diz respeito ao cenário macroeconômico, a perspectiva para o Brasil revela uma complexa interação entre fatores internos e externos que afetam as estratégias de investimento. O Federal Reserve deve iniciar cortes nas taxas de juros em julho, embora de forma cautelosa, devido à inflação persistente e ao mercado de trabalho apertado. Para o Brasil, as projeções de crescimento do PIB são de 2% para 2025, enquanto as expectativas de inflação permanecem elevadas, com 4,0% para 2025, impulsionadas pelo aumento dos custos de serviços. A taxa Selic do Banco Central deve se estabilizar em 9%, mas há riscos de ajustes para cima, devido a pressões externas e incertezas fiscais internas, incluindo um déficit governamental projetado de 0,7% do PIB em 2024. O real brasileiro continua sob pressão, com previsão de encerrar 2024 a R$/US$ 4,70, refletindo um sentimento cauteloso em meio a tensões geopolíticas e desafios econômicos locais. Diante desse cenário, é fundamental que os investidores permaneçam vigilantes, pois essas dinâmicas podem influenciar significativamente as decisões do portfólio no futuro.</w:t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 base em sua disposição para aceitar riscos moderados e seu horizonte de investimento de médio a longo prazo, recomendamos que você continue diversificando sua carteira, mantendo um equilíbrio entre investimentos estáveis e aqueles com maior potencial de retorno. Essa abordagem permitirá não apenas a preservação do seu poder de compra, mas também o crescimento sustentável do seu patrimônio ao longo do tempo.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Estamos à disposição para discutir mais detalhadamente os resultados e as recomendações, bem como para esclarecer quaisquer dúvidas que você possa ter. Agradecemos pela confiança depositada em nossos serviços e seguimos comprometidos em ajudá-lo a alcançar seus objetivos financeiros.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Atenciosamente,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Antonio Bicudo</w:t>
      </w:r>
    </w:p>
    <w:sectPr>
      <w:pgSz w:h="16838" w:w="11906" w:orient="portrait"/>
      <w:pgMar w:bottom="1417" w:top="1417" w:left="1701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-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432E60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432E60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432E60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432E60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432E60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432E60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432E6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432E6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432E6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432E60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432E60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432E60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432E60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432E60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432E60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432E60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432E60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432E60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432E60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32E6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432E60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32E6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432E6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432E60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432E60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432E60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432E60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32E60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432E60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UQ5XSCmfOPSYjsY0YCjfsp39bA==">CgMxLjA4AHIhMUdVd19GcF9maGZzdXRBUFhhdG9wQzF4aVljRkY3NG5O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2025-05-26T19:22:00Z</dcterms:created>
  <dc:creator>Talisman AI Templates</dc:creator>
</cp:coreProperties>
</file>