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pBdr>
          <w:bottom w:val="single" w:color="D9A420" w:sz="24" w:space="14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14315B"/>
          <w:sz w:val="52"/>
          <w:szCs w:val="52"/>
        </w:rPr>
        <w:t xml:space="preserve">SISTEMA DE GESTÃO LOGÍSTICA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D9A420"/>
          <w:spacing w:val="40"/>
          <w:sz w:val="44"/>
          <w:szCs w:val="44"/>
        </w:rPr>
        <w:t xml:space="preserve">DILNOR</w:t>
      </w:r>
    </w:p>
    <w:p>
      <w:pPr>
        <w:spacing w:after="40" w:before="500"/>
        <w:jc w:val="center"/>
      </w:pPr>
      <w:r>
        <w:rPr>
          <w:rFonts w:ascii="Calibri" w:cs="Calibri" w:eastAsia="Calibri" w:hAnsi="Calibri"/>
          <w:color w:val="5B6472"/>
          <w:sz w:val="26"/>
          <w:szCs w:val="26"/>
        </w:rPr>
        <w:t xml:space="preserve">Visão Geral do Sistema</w:t>
      </w:r>
    </w:p>
    <w:p>
      <w:pPr>
        <w:spacing w:after="900"/>
        <w:jc w:val="center"/>
      </w:pPr>
      <w:r>
        <w:rPr>
          <w:rFonts w:ascii="Calibri" w:cs="Calibri" w:eastAsia="Calibri" w:hAnsi="Calibri"/>
          <w:i/>
          <w:iCs/>
          <w:color w:val="5B6472"/>
          <w:sz w:val="22"/>
          <w:szCs w:val="22"/>
        </w:rPr>
        <w:t xml:space="preserve">Documento preparado para apresentação à gestão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4315B"/>
          <w:sz w:val="22"/>
          <w:szCs w:val="22"/>
        </w:rPr>
        <w:t xml:space="preserve">Agosto de 2026</w:t>
      </w:r>
    </w:p>
    <w:p>
      <w:pPr>
        <w:spacing w:before="3200"/>
        <w:jc w:val="center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Unidades atendidas: Dilnor · Nordece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spacing w:after="40"/>
      </w:pPr>
      <w:r>
        <w:rPr>
          <w:rFonts w:ascii="Calibri" w:cs="Calibri" w:eastAsia="Calibri" w:hAnsi="Calibri"/>
          <w:b/>
          <w:bCs/>
          <w:color w:val="D9A420"/>
          <w:spacing w:val="20"/>
          <w:sz w:val="18"/>
          <w:szCs w:val="18"/>
        </w:rPr>
        <w:t xml:space="preserve">RESUMO EXECUTIVO</w:t>
      </w:r>
    </w:p>
    <w:p>
      <w:pPr>
        <w:pStyle w:val="Heading1"/>
        <w:pBdr>
          <w:bottom w:val="single" w:color="D9A420" w:sz="12" w:space="4"/>
        </w:pBdr>
        <w:spacing w:after="200" w:before="420"/>
      </w:pPr>
      <w:r>
        <w:rPr>
          <w:rFonts w:ascii="Calibri" w:cs="Calibri" w:eastAsia="Calibri" w:hAnsi="Calibri"/>
          <w:b/>
          <w:bCs/>
          <w:color w:val="14315B"/>
          <w:sz w:val="30"/>
          <w:szCs w:val="30"/>
        </w:rPr>
        <w:t xml:space="preserve">O que é o sistema</w:t>
      </w:r>
    </w:p>
    <w:p>
      <w:pPr>
        <w:spacing w:after="160" w:line="30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O Sistema de Gestão Logística é uma ferramenta feita sob medida para a operação da Dilnor e da Nordece. Ele reúne, num único lugar, tarefas que hoje dependem de planilhas soltas, papel e conferência manual: análise das entregas do dia, cálculo de produtividade e premiação da equipe, montagem da escala de carregamento, controle de estoque por fornecedor e agendamento de cargas.</w:t>
      </w:r>
    </w:p>
    <w:p>
      <w:pPr>
        <w:spacing w:after="160" w:line="30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O sistema roda direto no navegador, sem precisar instalar nada, e pode ser acessado de qualquer computador com internet. Os dados de cada unidade ficam separados e protegidos — a Nordece nunca vê dados da Dilnor, e vice-versa.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780"/>
      </w:tblGrid>
      <w:tr>
        <w:tc>
          <w:tcPr>
            <w:tcW w:type="dxa" w:w="5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Início do desenvolvimento</w:t>
            </w:r>
          </w:p>
        </w:tc>
        <w:tc>
          <w:tcPr>
            <w:tcW w:type="dxa" w:w="37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25 de junho de 2026</w:t>
            </w:r>
          </w:p>
        </w:tc>
      </w:tr>
      <w:tr>
        <w:tc>
          <w:tcPr>
            <w:tcW w:type="dxa" w:w="540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Tempo de evolução até hoje</w:t>
            </w:r>
          </w:p>
        </w:tc>
        <w:tc>
          <w:tcPr>
            <w:tcW w:type="dxa" w:w="378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cerca de 6 semanas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Atualizações entregues</w:t>
            </w:r>
          </w:p>
        </w:tc>
        <w:tc>
          <w:tcPr>
            <w:tcW w:type="dxa" w:w="37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52</w:t>
            </w:r>
          </w:p>
        </w:tc>
      </w:tr>
      <w:tr>
        <w:tc>
          <w:tcPr>
            <w:tcW w:type="dxa" w:w="540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Unidades atendidas</w:t>
            </w:r>
          </w:p>
        </w:tc>
        <w:tc>
          <w:tcPr>
            <w:tcW w:type="dxa" w:w="378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Dilnor e Nordece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Módulos em uso</w:t>
            </w:r>
          </w:p>
        </w:tc>
        <w:tc>
          <w:tcPr>
            <w:tcW w:type="dxa" w:w="37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12</w:t>
            </w:r>
          </w:p>
        </w:tc>
      </w:tr>
    </w:tbl>
    <w:p>
      <w:pPr>
        <w:pStyle w:val="Heading1"/>
        <w:pBdr>
          <w:bottom w:val="single" w:color="D9A420" w:sz="12" w:space="4"/>
        </w:pBdr>
        <w:spacing w:after="200" w:before="420"/>
      </w:pPr>
      <w:r>
        <w:rPr>
          <w:rFonts w:ascii="Calibri" w:cs="Calibri" w:eastAsia="Calibri" w:hAnsi="Calibri"/>
          <w:b/>
          <w:bCs/>
          <w:color w:val="14315B"/>
          <w:sz w:val="30"/>
          <w:szCs w:val="30"/>
        </w:rPr>
        <w:t xml:space="preserve">O problema que o sistema resolve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Cálculo de produtividade e premiação, que antes era feito manualmente por carga, agora é automático e consistente — mesma regra para todo mundo.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A escala de carregamento, a portaria e o controle de quilometragem deixam de ser três controles separados e passam a nascer do mesmo lançamento.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A conferência de estoque por fornecedor ganha comparação histórica: dá para ver se a divergência está melhorando ou piorando, fornecedor a fornecedor.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Cada motorista e ajudante consulta o próprio desempenho, sem precisar perguntar para ninguém — reduz atrito e dúvida sobre premiação.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Nada fica perdido em planilhas isoladas no computador de uma pessoa só: o histórico fica salvo e acessível para quem precisa.</w:t>
      </w:r>
    </w:p>
    <w:p>
      <w:pPr>
        <w:pStyle w:val="Heading1"/>
        <w:pBdr>
          <w:bottom w:val="single" w:color="D9A420" w:sz="12" w:space="4"/>
        </w:pBdr>
        <w:spacing w:after="200" w:before="420"/>
      </w:pPr>
      <w:r>
        <w:rPr>
          <w:rFonts w:ascii="Calibri" w:cs="Calibri" w:eastAsia="Calibri" w:hAnsi="Calibri"/>
          <w:b/>
          <w:bCs/>
          <w:color w:val="14315B"/>
          <w:sz w:val="30"/>
          <w:szCs w:val="30"/>
        </w:rPr>
        <w:t xml:space="preserve">Módulos do sistema</w:t>
      </w:r>
    </w:p>
    <w:p>
      <w:pPr>
        <w:spacing w:after="160" w:line="30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Os 12 módulos em uso estão organizados em seis frentes de trabalho: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315B"/>
          <w:sz w:val="24"/>
          <w:szCs w:val="24"/>
        </w:rPr>
        <w:t xml:space="preserve">1 · Operação diária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300"/>
        <w:gridCol w:w="3130"/>
      </w:tblGrid>
      <w:tr>
        <w:trPr>
          <w:tblHeader/>
        </w:trPr>
        <w:tc>
          <w:tcPr>
            <w:tcW w:type="dxa" w:w="175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30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313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 para a gestão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Início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Painel do dia com os principais números: pedidos, status das entregas, produtividade média.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Visão rápida da situação do dia, sem precisar abrir planilha nenhuma.</w:t>
            </w:r>
          </w:p>
        </w:tc>
      </w:tr>
      <w:tr>
        <w:tc>
          <w:tcPr>
            <w:tcW w:type="dxa" w:w="175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Análise de Entregas</w:t>
            </w:r>
          </w:p>
        </w:tc>
        <w:tc>
          <w:tcPr>
            <w:tcW w:type="dxa" w:w="430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Lê o relatório de entregas exportado do sistema Fusion e organiza tudo por carga, com filtro por status, motorista e rota.</w:t>
            </w:r>
          </w:p>
        </w:tc>
        <w:tc>
          <w:tcPr>
            <w:tcW w:type="dxa" w:w="313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É a base única de dados: tudo que os outros módulos calculam parte daqui.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Produtividade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Calcula o desempenho de cada carga (por quantidade e por peso entregue) e já classifica em faixas de premiação.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Tira o cálculo manual da premiação e garante que a regra seja igual para todos.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315B"/>
          <w:sz w:val="24"/>
          <w:szCs w:val="24"/>
        </w:rPr>
        <w:t xml:space="preserve">2 · Equipe e agenda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300"/>
        <w:gridCol w:w="3130"/>
      </w:tblGrid>
      <w:tr>
        <w:trPr>
          <w:tblHeader/>
        </w:trPr>
        <w:tc>
          <w:tcPr>
            <w:tcW w:type="dxa" w:w="175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30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313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 para a gestão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Escala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Monta a grade de carregamento do dia: motorista, ajudante, veículo, rota e diária. Acompanha também quem está na praça ou em viagem.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Uma única tela organiza quem sai, com o quê e para onde — substitui o quadro/planilha manual.</w:t>
            </w:r>
          </w:p>
        </w:tc>
      </w:tr>
      <w:tr>
        <w:tc>
          <w:tcPr>
            <w:tcW w:type="dxa" w:w="175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Escalas salvas</w:t>
            </w:r>
          </w:p>
        </w:tc>
        <w:tc>
          <w:tcPr>
            <w:tcW w:type="dxa" w:w="430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Consulta escalas de dias anteriores, com busca por placa de veículo em todo o histórico.</w:t>
            </w:r>
          </w:p>
        </w:tc>
        <w:tc>
          <w:tcPr>
            <w:tcW w:type="dxa" w:w="313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Resposta rápida para "quando foi a última vez que esse veículo saiu?".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Cadastros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Tabela de valores de premiação por cargo, e o cadastro de motoristas e ajudantes por tipo de operação.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 regra de pagamento fica documentada e fácil de ajustar, sem depender de planilha externa.</w:t>
            </w:r>
          </w:p>
        </w:tc>
      </w:tr>
      <w:tr>
        <w:tc>
          <w:tcPr>
            <w:tcW w:type="dxa" w:w="175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Meu Desempenho</w:t>
            </w:r>
          </w:p>
        </w:tc>
        <w:tc>
          <w:tcPr>
            <w:tcW w:type="dxa" w:w="430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Cada motorista ou ajudante consulta seu próprio histórico e ranking, sem ver os dados dos colegas.</w:t>
            </w:r>
          </w:p>
        </w:tc>
        <w:tc>
          <w:tcPr>
            <w:tcW w:type="dxa" w:w="313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Transparência individual sem expor dados de terceiros — reduz dúvidas sobre premiação.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315B"/>
          <w:sz w:val="24"/>
          <w:szCs w:val="24"/>
        </w:rPr>
        <w:t xml:space="preserve">3 · Controle de estoque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300"/>
        <w:gridCol w:w="3130"/>
      </w:tblGrid>
      <w:tr>
        <w:trPr>
          <w:tblHeader/>
        </w:trPr>
        <w:tc>
          <w:tcPr>
            <w:tcW w:type="dxa" w:w="175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30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313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 para a gestão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Inventário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Recebe o relatório de conferência do ERP e calcula automaticamente a divergência de cada produto, por fornecedor. Compara inventários ao longo do tempo com gráficos de evolução, acuracidade e ranking de maiores divergências.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Mostra se a divergência de estoque está melhorando ou piorando por fornecedor — informação hoje só existe se alguém montar a planilha na mão.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315B"/>
          <w:sz w:val="24"/>
          <w:szCs w:val="24"/>
        </w:rPr>
        <w:t xml:space="preserve">4 · Planejamento de cargas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300"/>
        <w:gridCol w:w="3130"/>
      </w:tblGrid>
      <w:tr>
        <w:trPr>
          <w:tblHeader/>
        </w:trPr>
        <w:tc>
          <w:tcPr>
            <w:tcW w:type="dxa" w:w="175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30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313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 para a gestão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Agendamentos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Duas agendas: cargas a enviar (para quem monta a carga) e recebimentos (para o depósito). Cada uma tem visão em tabela e em calendário, com impressão.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Antecipa o que vai sair e o que vai chegar, evitando surpresa de última hora na equipe.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315B"/>
          <w:sz w:val="24"/>
          <w:szCs w:val="24"/>
        </w:rPr>
        <w:t xml:space="preserve">5 · Documentos operacionais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300"/>
        <w:gridCol w:w="3130"/>
      </w:tblGrid>
      <w:tr>
        <w:trPr>
          <w:tblHeader/>
        </w:trPr>
        <w:tc>
          <w:tcPr>
            <w:tcW w:type="dxa" w:w="175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30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313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 para a gestão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Portaria e Controle de KM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 partir da escala do dia, gera automaticamente dois formulários prontos para imprimir: controle de entrada/saída de caminhões (com campo de assinatura) e controle de quilometragem.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 portaria não precisa preencher nada na mão — só imprimir, assinar e conferir.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315B"/>
          <w:sz w:val="24"/>
          <w:szCs w:val="24"/>
        </w:rPr>
        <w:t xml:space="preserve">6 · Administração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300"/>
        <w:gridCol w:w="3130"/>
      </w:tblGrid>
      <w:tr>
        <w:trPr>
          <w:tblHeader/>
        </w:trPr>
        <w:tc>
          <w:tcPr>
            <w:tcW w:type="dxa" w:w="175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430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3130"/>
            <w:shd w:fill="14315B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 para a gestão</w:t>
            </w:r>
          </w:p>
        </w:tc>
      </w:tr>
      <w:tr>
        <w:tc>
          <w:tcPr>
            <w:tcW w:type="dxa" w:w="175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Salvos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Histórico de tudo que já foi calculado e gravado: busca, exportação para Excel e exclusão, restrito ao administrador.</w:t>
            </w:r>
          </w:p>
        </w:tc>
        <w:tc>
          <w:tcPr>
            <w:tcW w:type="dxa" w:w="313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Auditoria completa de premiações já pagas, com exportação para conferência externa.</w:t>
            </w:r>
          </w:p>
        </w:tc>
      </w:tr>
      <w:tr>
        <w:tc>
          <w:tcPr>
            <w:tcW w:type="dxa" w:w="175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315B"/>
                <w:sz w:val="20"/>
                <w:szCs w:val="20"/>
              </w:rPr>
              <w:t xml:space="preserve">Configurações</w:t>
            </w:r>
          </w:p>
        </w:tc>
        <w:tc>
          <w:tcPr>
            <w:tcW w:type="dxa" w:w="430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Parâmetros do sistema: horário de corte, metas por faixa de produtividade, regras de sábado, liga/desliga o módulo de pagamento.</w:t>
            </w:r>
          </w:p>
        </w:tc>
        <w:tc>
          <w:tcPr>
            <w:tcW w:type="dxa" w:w="3130"/>
            <w:shd w:fill="F2F3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B2F36"/>
                <w:sz w:val="20"/>
                <w:szCs w:val="20"/>
              </w:rPr>
              <w:t xml:space="preserve">Ajusta as regras de negócio sem precisar mexer em código — muda a política, o sistema recalcula sozinho.</w:t>
            </w:r>
          </w:p>
        </w:tc>
      </w:tr>
    </w:tbl>
    <w:p>
      <w:pPr>
        <w:pStyle w:val="Heading1"/>
        <w:pBdr>
          <w:bottom w:val="single" w:color="D9A420" w:sz="12" w:space="4"/>
        </w:pBdr>
        <w:spacing w:after="200" w:before="420"/>
      </w:pPr>
      <w:r>
        <w:rPr>
          <w:rFonts w:ascii="Calibri" w:cs="Calibri" w:eastAsia="Calibri" w:hAnsi="Calibri"/>
          <w:b/>
          <w:bCs/>
          <w:color w:val="14315B"/>
          <w:sz w:val="30"/>
          <w:szCs w:val="30"/>
        </w:rPr>
        <w:t xml:space="preserve">Segurança e confiabilidade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Dados de cada unidade ficam isolados um do outro por regra do próprio banco de dados — não é só uma tela escondida, é uma barreira técnica.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Dois níveis de acesso: administrador (grava e altera tudo) e consulta (funcionário só vê o próprio desempenho).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Continua funcionando mesmo sem internet no momento: os dados ficam guardados no computador e sincronizam depois, quando a conexão voltar.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Sem custo de servidor próprio: o sistema é hospedado em nuvem, com atualização automática a cada melhoria.</w:t>
      </w:r>
    </w:p>
    <w:p>
      <w:pPr>
        <w:pStyle w:val="Heading1"/>
        <w:pBdr>
          <w:bottom w:val="single" w:color="D9A420" w:sz="12" w:space="4"/>
        </w:pBdr>
        <w:spacing w:after="200" w:before="420"/>
      </w:pPr>
      <w:r>
        <w:rPr>
          <w:rFonts w:ascii="Calibri" w:cs="Calibri" w:eastAsia="Calibri" w:hAnsi="Calibri"/>
          <w:b/>
          <w:bCs/>
          <w:color w:val="14315B"/>
          <w:sz w:val="30"/>
          <w:szCs w:val="30"/>
        </w:rPr>
        <w:t xml:space="preserve">Em resumo</w:t>
      </w:r>
    </w:p>
    <w:p>
      <w:pPr>
        <w:spacing w:after="160" w:line="30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Em seis semanas, um sistema único passou a cobrir análise de entregas, produtividade e premiação, escala de carregamento, portaria, controle de estoque e agendamento de cargas para as duas unidades — com histórico guardado, acesso controlado por perfil e sem depender de planilhas espalhadas.</w:t>
      </w:r>
    </w:p>
    <w:p>
      <w:pPr>
        <w:spacing w:after="160" w:line="300"/>
      </w:pPr>
      <w:r>
        <w:rPr>
          <w:rFonts w:ascii="Calibri" w:cs="Calibri" w:eastAsia="Calibri" w:hAnsi="Calibri"/>
          <w:color w:val="2B2F36"/>
          <w:sz w:val="21"/>
          <w:szCs w:val="21"/>
        </w:rPr>
        <w:t xml:space="preserve">O sistema segue em evolução: cada melhoria entra em produção assim que fica pronta, sem parada e sem instalação nas máquinas da equipe.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472"/>
        <w:sz w:val="16"/>
        <w:szCs w:val="16"/>
      </w:rPr>
      <w:t xml:space="preserve">Página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472"/>
        <w:sz w:val="16"/>
        <w:szCs w:val="16"/>
      </w:rPr>
      <w:t xml:space="preserve"> de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2F3F5" w:sz="4" w:space="4"/>
      </w:pBdr>
    </w:pPr>
    <w:r>
      <w:rPr>
        <w:rFonts w:ascii="Calibri" w:cs="Calibri" w:eastAsia="Calibri" w:hAnsi="Calibri"/>
        <w:color w:val="5B6472"/>
        <w:sz w:val="16"/>
        <w:szCs w:val="16"/>
      </w:rPr>
      <w:t xml:space="preserve">Sistema de Gestão Logística · Dilnor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F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2026-08-12T13:34:17.963Z</dcterms:created>
  <dcterms:modified xsi:type="dcterms:W3CDTF">2026-08-12T13:34:17.967Z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