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9A420" w:sz="18" w:space="8"/>
        </w:pBdr>
        <w:spacing w:after="120"/>
        <w:jc w:val="left"/>
      </w:pPr>
      <w:r>
        <w:rPr>
          <w:rFonts w:ascii="Calibri" w:cs="Calibri" w:eastAsia="Calibri" w:hAnsi="Calibri"/>
          <w:b/>
          <w:bCs/>
          <w:color w:val="14315B"/>
          <w:sz w:val="34"/>
          <w:szCs w:val="34"/>
        </w:rPr>
        <w:t xml:space="preserve">ROTEIRO DE DEMONSTRAÇÃO AO VIVO</w:t>
      </w:r>
    </w:p>
    <w:p>
      <w:pPr>
        <w:spacing w:after="140" w:line="290"/>
      </w:pPr>
      <w:r>
        <w:rPr>
          <w:rFonts w:ascii="Calibri" w:cs="Calibri" w:eastAsia="Calibri" w:hAnsi="Calibri"/>
          <w:i/>
          <w:iCs/>
          <w:color w:val="5B6472"/>
          <w:sz w:val="20"/>
          <w:szCs w:val="20"/>
        </w:rPr>
        <w:t xml:space="preserve">Guia rápido para apresentar o sistema ao seu chefe. Leva de 8 a 10 minutos se seguir a ordem sugerida.</w:t>
      </w:r>
    </w:p>
    <w:p>
      <w:pPr>
        <w:pStyle w:val="Heading1"/>
        <w:pBdr>
          <w:bottom w:val="single" w:color="D9A420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4315B"/>
          <w:sz w:val="27"/>
          <w:szCs w:val="27"/>
        </w:rPr>
        <w:t xml:space="preserve">Antes de começar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color w:val="2B2F36"/>
          <w:sz w:val="20"/>
          <w:szCs w:val="20"/>
        </w:rPr>
        <w:t xml:space="preserve">Tenha em mãos o Relatório de Entregas do dia (.xlsx) — importar um arquivo real ao vivo é o momento mais forte da demonstração.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color w:val="2B2F36"/>
          <w:sz w:val="20"/>
          <w:szCs w:val="20"/>
        </w:rPr>
        <w:t xml:space="preserve">Teste o login alguns minutos antes, com a internet do local onde vai apresentar.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color w:val="2B2F36"/>
          <w:sz w:val="20"/>
          <w:szCs w:val="20"/>
        </w:rPr>
        <w:t xml:space="preserve">Se a internet falhar na hora, não se preocupe: mencione que o sistema tem modo offline e continua funcionando localmente.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color w:val="2B2F36"/>
          <w:sz w:val="20"/>
          <w:szCs w:val="20"/>
        </w:rPr>
        <w:t xml:space="preserve">Deixe o navegador em tela cheia (F11) e feche abas que não interessam.</w:t>
      </w:r>
    </w:p>
    <w:p>
      <w:pPr>
        <w:pStyle w:val="Heading1"/>
        <w:pBdr>
          <w:bottom w:val="single" w:color="D9A420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4315B"/>
          <w:sz w:val="27"/>
          <w:szCs w:val="27"/>
        </w:rPr>
        <w:t xml:space="preserve">Ordem sugerida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50"/>
        <w:gridCol w:w="2600"/>
        <w:gridCol w:w="4270"/>
      </w:tblGrid>
      <w:tr>
        <w:trPr>
          <w:tblHeader/>
        </w:trPr>
        <w:tc>
          <w:tcPr>
            <w:tcW w:type="dxa" w:w="560"/>
            <w:shd w:fill="14315B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750"/>
            <w:shd w:fill="14315B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</w:t>
            </w:r>
          </w:p>
        </w:tc>
        <w:tc>
          <w:tcPr>
            <w:tcW w:type="dxa" w:w="2600"/>
            <w:shd w:fill="14315B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clicar</w:t>
            </w:r>
          </w:p>
        </w:tc>
        <w:tc>
          <w:tcPr>
            <w:tcW w:type="dxa" w:w="4270"/>
            <w:shd w:fill="14315B" w:color="auto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falar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1</w:t>
            </w:r>
          </w:p>
        </w:tc>
        <w:tc>
          <w:tcPr>
            <w:tcW w:type="dxa" w:w="175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Início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Faça login e deixe a tela do painel do dia carregar.</w:t>
            </w:r>
          </w:p>
        </w:tc>
        <w:tc>
          <w:tcPr>
            <w:tcW w:type="dxa" w:w="427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"Esse é o painel do dia — mostra de cara o total de pedidos, o status das entregas e a produtividade média."</w:t>
            </w:r>
          </w:p>
        </w:tc>
      </w:tr>
      <w:tr>
        <w:tc>
          <w:tcPr>
            <w:tcW w:type="dxa" w:w="56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2</w:t>
            </w:r>
          </w:p>
        </w:tc>
        <w:tc>
          <w:tcPr>
            <w:tcW w:type="dxa" w:w="175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Análise de Entregas</w:t>
            </w:r>
          </w:p>
        </w:tc>
        <w:tc>
          <w:tcPr>
            <w:tcW w:type="dxa" w:w="2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Importe o relatório .xlsx do dia (botão "Importar relatório").</w:t>
            </w:r>
          </w:p>
        </w:tc>
        <w:tc>
          <w:tcPr>
            <w:tcW w:type="dxa" w:w="427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"O relatório que a gente exporta do Fusion entra aqui uma vez só e alimenta todos os módulos automaticamente."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3</w:t>
            </w:r>
          </w:p>
        </w:tc>
        <w:tc>
          <w:tcPr>
            <w:tcW w:type="dxa" w:w="175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Produtividade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Abra o módulo e mostre a lista de cargas já calculada e classificada por faixa.</w:t>
            </w:r>
          </w:p>
        </w:tc>
        <w:tc>
          <w:tcPr>
            <w:tcW w:type="dxa" w:w="427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"A produtividade de cada carga é calculada sozinha — antes isso era feito na mão, carga por carga."</w:t>
            </w:r>
          </w:p>
        </w:tc>
      </w:tr>
      <w:tr>
        <w:tc>
          <w:tcPr>
            <w:tcW w:type="dxa" w:w="56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4</w:t>
            </w:r>
          </w:p>
        </w:tc>
        <w:tc>
          <w:tcPr>
            <w:tcW w:type="dxa" w:w="175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Escala</w:t>
            </w:r>
          </w:p>
        </w:tc>
        <w:tc>
          <w:tcPr>
            <w:tcW w:type="dxa" w:w="2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Mostre uma escala já montada ou monte uma linha rápida. Clique em "Portaria".</w:t>
            </w:r>
          </w:p>
        </w:tc>
        <w:tc>
          <w:tcPr>
            <w:tcW w:type="dxa" w:w="427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"Daqui sai direto o formulário que a portaria usa para controlar entrada e saída de caminhão — não precisa preencher nada na mão."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5</w:t>
            </w:r>
          </w:p>
        </w:tc>
        <w:tc>
          <w:tcPr>
            <w:tcW w:type="dxa" w:w="175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Inventário → Comparativo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Selecione um fornecedor e mostre os gráficos de divergência.</w:t>
            </w:r>
          </w:p>
        </w:tc>
        <w:tc>
          <w:tcPr>
            <w:tcW w:type="dxa" w:w="427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"Aqui dá pra ver se a divergência de estoque desse fornecedor está melhorando ou piorando ao longo do tempo."</w:t>
            </w:r>
          </w:p>
        </w:tc>
      </w:tr>
      <w:tr>
        <w:tc>
          <w:tcPr>
            <w:tcW w:type="dxa" w:w="56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6</w:t>
            </w:r>
          </w:p>
        </w:tc>
        <w:tc>
          <w:tcPr>
            <w:tcW w:type="dxa" w:w="175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Agendamentos</w:t>
            </w:r>
          </w:p>
        </w:tc>
        <w:tc>
          <w:tcPr>
            <w:tcW w:type="dxa" w:w="2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Alterne para a visão de calendário.</w:t>
            </w:r>
          </w:p>
        </w:tc>
        <w:tc>
          <w:tcPr>
            <w:tcW w:type="dxa" w:w="427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"A gente já sabe com antecedência o que vai sair e o que vai chegar no depósito."</w:t>
            </w:r>
          </w:p>
        </w:tc>
      </w:tr>
      <w:tr>
        <w:tc>
          <w:tcPr>
            <w:tcW w:type="dxa" w:w="56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7</w:t>
            </w:r>
          </w:p>
        </w:tc>
        <w:tc>
          <w:tcPr>
            <w:tcW w:type="dxa" w:w="175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Meu Desempenho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Selecione um nome e mostre o histórico individual.</w:t>
            </w:r>
          </w:p>
        </w:tc>
        <w:tc>
          <w:tcPr>
            <w:tcW w:type="dxa" w:w="427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"Cada motorista e ajudante consulta o próprio desempenho — reduz a fila de dúvida sobre premiação."</w:t>
            </w:r>
          </w:p>
        </w:tc>
      </w:tr>
      <w:tr>
        <w:tc>
          <w:tcPr>
            <w:tcW w:type="dxa" w:w="56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A420"/>
                <w:sz w:val="22"/>
                <w:szCs w:val="22"/>
              </w:rPr>
              <w:t xml:space="preserve">8</w:t>
            </w:r>
          </w:p>
        </w:tc>
        <w:tc>
          <w:tcPr>
            <w:tcW w:type="dxa" w:w="175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Configurações</w:t>
            </w:r>
          </w:p>
        </w:tc>
        <w:tc>
          <w:tcPr>
            <w:tcW w:type="dxa" w:w="2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Mostre os campos de meta e horário de corte.</w:t>
            </w:r>
          </w:p>
        </w:tc>
        <w:tc>
          <w:tcPr>
            <w:tcW w:type="dxa" w:w="427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3E4451"/>
                <w:sz w:val="19"/>
                <w:szCs w:val="19"/>
              </w:rPr>
              <w:t xml:space="preserve">"Se a regra de negócio mudar, a gente ajusta aqui, sem precisar mexer em código."</w:t>
            </w:r>
          </w:p>
        </w:tc>
      </w:tr>
    </w:tbl>
    <w:p>
      <w:pPr>
        <w:pStyle w:val="Heading1"/>
        <w:pBdr>
          <w:bottom w:val="single" w:color="D9A420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4315B"/>
          <w:sz w:val="27"/>
          <w:szCs w:val="27"/>
        </w:rPr>
        <w:t xml:space="preserve">Como fechar</w:t>
      </w:r>
    </w:p>
    <w:p>
      <w:pPr>
        <w:shd w:fill="FBEFD0" w:color="auto" w:val="clear"/>
        <w:spacing w:after="100" w:before="100" w:line="300"/>
        <w:ind w:left="100" w:right="100"/>
      </w:pPr>
      <w:r>
        <w:rPr>
          <w:rFonts w:ascii="Calibri" w:cs="Calibri" w:eastAsia="Calibri" w:hAnsi="Calibri"/>
          <w:b/>
          <w:bCs/>
          <w:i/>
          <w:iCs/>
          <w:color w:val="14315B"/>
          <w:sz w:val="20"/>
          <w:szCs w:val="20"/>
        </w:rPr>
        <w:t xml:space="preserve">"Tudo isso foi construído em seis semanas e continua evoluindo: cada melhoria entra no ar assim que fica pronta, sem parar a operação e sem instalar nada nas máquinas da equipe."</w:t>
      </w:r>
    </w:p>
    <w:p>
      <w:pPr>
        <w:pStyle w:val="Heading1"/>
        <w:pBdr>
          <w:bottom w:val="single" w:color="D9A420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4315B"/>
          <w:sz w:val="27"/>
          <w:szCs w:val="27"/>
        </w:rPr>
        <w:t xml:space="preserve">Perguntas prováveis — e resposta curta</w:t>
      </w:r>
    </w:p>
    <w:tbl>
      <w:tblPr>
        <w:tblW w:type="dxa" w:w="91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580"/>
      </w:tblGrid>
      <w:tr>
        <w:tc>
          <w:tcPr>
            <w:tcW w:type="dxa" w:w="3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Isso é seguro? Alguém de fora vê nossos dados?</w:t>
            </w:r>
          </w:p>
        </w:tc>
        <w:tc>
          <w:tcPr>
            <w:tcW w:type="dxa" w:w="558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Não. Os dados de cada unidade são isolados por regra do próprio banco — Dilnor não vê Nordece, e vice-versa.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E se cair a internet durante a operação?</w:t>
            </w:r>
          </w:p>
        </w:tc>
        <w:tc>
          <w:tcPr>
            <w:tcW w:type="dxa" w:w="558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O sistema continua funcionando localmente no computador e sincroniza com o banco assim que a conexão voltar.</w:t>
            </w:r>
          </w:p>
        </w:tc>
      </w:tr>
      <w:tr>
        <w:tc>
          <w:tcPr>
            <w:tcW w:type="dxa" w:w="3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Quem pode alterar os dados?</w:t>
            </w:r>
          </w:p>
        </w:tc>
        <w:tc>
          <w:tcPr>
            <w:tcW w:type="dxa" w:w="558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Só o usuário administrador. O funcionário só consulta o próprio desempenho, sem poder editar nada.</w:t>
            </w:r>
          </w:p>
        </w:tc>
      </w:tr>
      <w:tr>
        <w:tc>
          <w:tcPr>
            <w:tcW w:type="dxa" w:w="360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Quanto custa manter isso rodando?</w:t>
            </w:r>
          </w:p>
        </w:tc>
        <w:tc>
          <w:tcPr>
            <w:tcW w:type="dxa" w:w="5580"/>
            <w:shd w:fill="FFFFFF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[Responda com base no plano atual de hospedagem — Vercel e Supabase. Não há custo de servidor próprio dedicado.]</w:t>
            </w:r>
          </w:p>
        </w:tc>
      </w:tr>
      <w:tr>
        <w:tc>
          <w:tcPr>
            <w:tcW w:type="dxa" w:w="360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4315B"/>
                <w:sz w:val="19"/>
                <w:szCs w:val="19"/>
              </w:rPr>
              <w:t xml:space="preserve">Isso substitui as planilhas que usamos hoje?</w:t>
            </w:r>
          </w:p>
        </w:tc>
        <w:tc>
          <w:tcPr>
            <w:tcW w:type="dxa" w:w="5580"/>
            <w:shd w:fill="F2F3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color w:val="2B2F36"/>
                <w:sz w:val="19"/>
                <w:szCs w:val="19"/>
              </w:rPr>
              <w:t xml:space="preserve">[Responda de acordo com a realidade da sua operação — quais planilhas ficam totalmente substituídas e quais ainda seguem em uso.]</w:t>
            </w:r>
          </w:p>
        </w:tc>
      </w:tr>
    </w:tbl>
    <w:p>
      <w:pPr>
        <w:spacing w:before="260"/>
      </w:pPr>
      <w:r>
        <w:rPr>
          <w:rFonts w:ascii="Calibri" w:cs="Calibri" w:eastAsia="Calibri" w:hAnsi="Calibri"/>
          <w:i/>
          <w:iCs/>
          <w:color w:val="5B6472"/>
          <w:sz w:val="17"/>
          <w:szCs w:val="17"/>
        </w:rPr>
        <w:t xml:space="preserve">Dica: os dois campos acima ficaram em aberto de propósito — são respostas que só você tem, sobre custo real e sobre o que hoje ainda depende de planilha. Preencha antes da reunião.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2026-08-12T13:34:45.668Z</dcterms:created>
  <dcterms:modified xsi:type="dcterms:W3CDTF">2026-08-12T13:34:45.672Z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