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9A420" w:sz="18" w:space="8"/>
        </w:pBdr>
        <w:spacing w:after="120"/>
        <w:jc w:val="left"/>
      </w:pPr>
      <w:r>
        <w:rPr>
          <w:rFonts w:ascii="Calibri" w:cs="Calibri" w:eastAsia="Calibri" w:hAnsi="Calibri"/>
          <w:b/>
          <w:bCs/>
          <w:color w:val="14315B"/>
          <w:sz w:val="34"/>
          <w:szCs w:val="34"/>
        </w:rPr>
        <w:t xml:space="preserve">ROTEIRO DE DEMONSTRAÇÃO AO VIVO</w:t>
      </w:r>
    </w:p>
    <w:p>
      <w:pPr>
        <w:spacing w:after="140" w:line="290"/>
      </w:pPr>
      <w:r>
        <w:rPr>
          <w:rFonts w:ascii="Calibri" w:cs="Calibri" w:eastAsia="Calibri" w:hAnsi="Calibri"/>
          <w:i/>
          <w:iCs/>
          <w:color w:val="5B6472"/>
          <w:sz w:val="20"/>
          <w:szCs w:val="20"/>
        </w:rPr>
        <w:t xml:space="preserve">Guia rápido para apresentar o sistema ao seu chefe. Leva de 8 a 10 minutos se seguir a ordem sugerida.</w:t>
      </w:r>
    </w:p>
    <w:p>
      <w:pPr>
        <w:pStyle w:val="Heading1"/>
        <w:pBdr>
          <w:bottom w:val="single" w:color="D9A42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315B"/>
          <w:sz w:val="27"/>
          <w:szCs w:val="27"/>
        </w:rPr>
        <w:t xml:space="preserve">Antes de começar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2B2F36"/>
          <w:sz w:val="20"/>
          <w:szCs w:val="20"/>
        </w:rPr>
        <w:t xml:space="preserve">Tenha em mãos o Relatório de Entregas do dia (.xlsx) — importar um arquivo real ao vivo é o momento mais forte da demonstração.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2B2F36"/>
          <w:sz w:val="20"/>
          <w:szCs w:val="20"/>
        </w:rPr>
        <w:t xml:space="preserve">Teste o login alguns minutos antes, com a internet do local onde vai apresentar.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2B2F36"/>
          <w:sz w:val="20"/>
          <w:szCs w:val="20"/>
        </w:rPr>
        <w:t xml:space="preserve">Se a internet falhar na hora, não se preocupe: mencione que o sistema tem modo offline e continua funcionando localmente.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2B2F36"/>
          <w:sz w:val="20"/>
          <w:szCs w:val="20"/>
        </w:rPr>
        <w:t xml:space="preserve">Deixe o navegador em tela cheia (F11) e feche abas que não interessam.</w:t>
      </w:r>
    </w:p>
    <w:p>
      <w:pPr>
        <w:pStyle w:val="Heading1"/>
        <w:pBdr>
          <w:bottom w:val="single" w:color="D9A42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315B"/>
          <w:sz w:val="27"/>
          <w:szCs w:val="27"/>
        </w:rPr>
        <w:t xml:space="preserve">Ordem sugerida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50"/>
        <w:gridCol w:w="2600"/>
        <w:gridCol w:w="4270"/>
      </w:tblGrid>
      <w:tr>
        <w:trPr>
          <w:tblHeader/>
        </w:trPr>
        <w:tc>
          <w:tcPr>
            <w:tcW w:type="dxa" w:w="560"/>
            <w:shd w:fill="1431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50"/>
            <w:shd w:fill="1431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2600"/>
            <w:shd w:fill="1431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clicar</w:t>
            </w:r>
          </w:p>
        </w:tc>
        <w:tc>
          <w:tcPr>
            <w:tcW w:type="dxa" w:w="4270"/>
            <w:shd w:fill="1431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falar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A420"/>
                <w:sz w:val="22"/>
                <w:szCs w:val="22"/>
              </w:rPr>
              <w:t xml:space="preserve">1</w:t>
            </w:r>
          </w:p>
        </w:tc>
        <w:tc>
          <w:tcPr>
            <w:tcW w:type="dxa" w:w="17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5B"/>
                <w:sz w:val="19"/>
                <w:szCs w:val="19"/>
              </w:rPr>
              <w:t xml:space="preserve">Início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19"/>
                <w:szCs w:val="19"/>
              </w:rPr>
              <w:t xml:space="preserve">Faça login e deixe a tela do painel do dia carregar.</w:t>
            </w:r>
          </w:p>
        </w:tc>
        <w:tc>
          <w:tcPr>
            <w:tcW w:type="dxa" w:w="427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E4451"/>
                <w:sz w:val="19"/>
                <w:szCs w:val="19"/>
              </w:rPr>
              <w:t xml:space="preserve">"Esse é o painel do dia — mostra de cara o total de pedidos, o status das entregas e a produtividade média."</w:t>
            </w:r>
          </w:p>
        </w:tc>
      </w:tr>
      <w:tr>
        <w:tc>
          <w:tcPr>
            <w:tcW w:type="dxa" w:w="56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A420"/>
                <w:sz w:val="22"/>
                <w:szCs w:val="22"/>
              </w:rPr>
              <w:t xml:space="preserve">2</w:t>
            </w:r>
          </w:p>
        </w:tc>
        <w:tc>
          <w:tcPr>
            <w:tcW w:type="dxa" w:w="175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5B"/>
                <w:sz w:val="19"/>
                <w:szCs w:val="19"/>
              </w:rPr>
              <w:t xml:space="preserve">Análise de Entregas</w:t>
            </w:r>
          </w:p>
        </w:tc>
        <w:tc>
          <w:tcPr>
            <w:tcW w:type="dxa" w:w="260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19"/>
                <w:szCs w:val="19"/>
              </w:rPr>
              <w:t xml:space="preserve">Importe o relatório .xlsx do dia (botão "Importar relatório").</w:t>
            </w:r>
          </w:p>
        </w:tc>
        <w:tc>
          <w:tcPr>
            <w:tcW w:type="dxa" w:w="427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E4451"/>
                <w:sz w:val="19"/>
                <w:szCs w:val="19"/>
              </w:rPr>
              <w:t xml:space="preserve">"O relatório que a gente exporta do Fusion entra aqui uma vez só e alimenta todos os módulos automaticamente."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A420"/>
                <w:sz w:val="22"/>
                <w:szCs w:val="22"/>
              </w:rPr>
              <w:t xml:space="preserve">3</w:t>
            </w:r>
          </w:p>
        </w:tc>
        <w:tc>
          <w:tcPr>
            <w:tcW w:type="dxa" w:w="17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5B"/>
                <w:sz w:val="19"/>
                <w:szCs w:val="19"/>
              </w:rPr>
              <w:t xml:space="preserve">Produtividade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19"/>
                <w:szCs w:val="19"/>
              </w:rPr>
              <w:t xml:space="preserve">Abra o módulo e mostre a lista de cargas já calculada e classificada por faixa.</w:t>
            </w:r>
          </w:p>
        </w:tc>
        <w:tc>
          <w:tcPr>
            <w:tcW w:type="dxa" w:w="427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E4451"/>
                <w:sz w:val="19"/>
                <w:szCs w:val="19"/>
              </w:rPr>
              <w:t xml:space="preserve">"A produtividade de cada carga é calculada sozinha — antes isso era feito na mão, carga por carga."</w:t>
            </w:r>
          </w:p>
        </w:tc>
      </w:tr>
      <w:tr>
        <w:tc>
          <w:tcPr>
            <w:tcW w:type="dxa" w:w="56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A420"/>
                <w:sz w:val="22"/>
                <w:szCs w:val="22"/>
              </w:rPr>
              <w:t xml:space="preserve">4</w:t>
            </w:r>
          </w:p>
        </w:tc>
        <w:tc>
          <w:tcPr>
            <w:tcW w:type="dxa" w:w="175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5B"/>
                <w:sz w:val="19"/>
                <w:szCs w:val="19"/>
              </w:rPr>
              <w:t xml:space="preserve">Escala</w:t>
            </w:r>
          </w:p>
        </w:tc>
        <w:tc>
          <w:tcPr>
            <w:tcW w:type="dxa" w:w="260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19"/>
                <w:szCs w:val="19"/>
              </w:rPr>
              <w:t xml:space="preserve">Mostre uma escala já montada ou monte uma linha rápida. Clique em "Portaria".</w:t>
            </w:r>
          </w:p>
        </w:tc>
        <w:tc>
          <w:tcPr>
            <w:tcW w:type="dxa" w:w="427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E4451"/>
                <w:sz w:val="19"/>
                <w:szCs w:val="19"/>
              </w:rPr>
              <w:t xml:space="preserve">"Daqui sai direto o formulário que a portaria usa para controlar entrada e saída de caminhão — não precisa preencher nada na mão."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A420"/>
                <w:sz w:val="22"/>
                <w:szCs w:val="22"/>
              </w:rPr>
              <w:t xml:space="preserve">5</w:t>
            </w:r>
          </w:p>
        </w:tc>
        <w:tc>
          <w:tcPr>
            <w:tcW w:type="dxa" w:w="17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5B"/>
                <w:sz w:val="19"/>
                <w:szCs w:val="19"/>
              </w:rPr>
              <w:t xml:space="preserve">Inventário → Comparativo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19"/>
                <w:szCs w:val="19"/>
              </w:rPr>
              <w:t xml:space="preserve">Selecione um fornecedor e mostre os gráficos de divergência.</w:t>
            </w:r>
          </w:p>
        </w:tc>
        <w:tc>
          <w:tcPr>
            <w:tcW w:type="dxa" w:w="427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E4451"/>
                <w:sz w:val="19"/>
                <w:szCs w:val="19"/>
              </w:rPr>
              <w:t xml:space="preserve">"Aqui dá pra ver se a divergência de estoque desse fornecedor está melhorando ou piorando ao longo do tempo."</w:t>
            </w:r>
          </w:p>
        </w:tc>
      </w:tr>
      <w:tr>
        <w:tc>
          <w:tcPr>
            <w:tcW w:type="dxa" w:w="56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A420"/>
                <w:sz w:val="22"/>
                <w:szCs w:val="22"/>
              </w:rPr>
              <w:t xml:space="preserve">6</w:t>
            </w:r>
          </w:p>
        </w:tc>
        <w:tc>
          <w:tcPr>
            <w:tcW w:type="dxa" w:w="175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5B"/>
                <w:sz w:val="19"/>
                <w:szCs w:val="19"/>
              </w:rPr>
              <w:t xml:space="preserve">Agendamentos</w:t>
            </w:r>
          </w:p>
        </w:tc>
        <w:tc>
          <w:tcPr>
            <w:tcW w:type="dxa" w:w="260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19"/>
                <w:szCs w:val="19"/>
              </w:rPr>
              <w:t xml:space="preserve">Alterne para a visão de calendário.</w:t>
            </w:r>
          </w:p>
        </w:tc>
        <w:tc>
          <w:tcPr>
            <w:tcW w:type="dxa" w:w="427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E4451"/>
                <w:sz w:val="19"/>
                <w:szCs w:val="19"/>
              </w:rPr>
              <w:t xml:space="preserve">"A gente já sabe com antecedência o que vai sair e o que vai chegar no depósito."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A420"/>
                <w:sz w:val="22"/>
                <w:szCs w:val="22"/>
              </w:rPr>
              <w:t xml:space="preserve">7</w:t>
            </w:r>
          </w:p>
        </w:tc>
        <w:tc>
          <w:tcPr>
            <w:tcW w:type="dxa" w:w="17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5B"/>
                <w:sz w:val="19"/>
                <w:szCs w:val="19"/>
              </w:rPr>
              <w:t xml:space="preserve">Meu Desempenho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19"/>
                <w:szCs w:val="19"/>
              </w:rPr>
              <w:t xml:space="preserve">Selecione um nome e mostre o histórico individual.</w:t>
            </w:r>
          </w:p>
        </w:tc>
        <w:tc>
          <w:tcPr>
            <w:tcW w:type="dxa" w:w="427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E4451"/>
                <w:sz w:val="19"/>
                <w:szCs w:val="19"/>
              </w:rPr>
              <w:t xml:space="preserve">"Cada motorista e ajudante consulta o próprio desempenho — reduz a fila de dúvida sobre premiação."</w:t>
            </w:r>
          </w:p>
        </w:tc>
      </w:tr>
      <w:tr>
        <w:tc>
          <w:tcPr>
            <w:tcW w:type="dxa" w:w="56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A420"/>
                <w:sz w:val="22"/>
                <w:szCs w:val="22"/>
              </w:rPr>
              <w:t xml:space="preserve">8</w:t>
            </w:r>
          </w:p>
        </w:tc>
        <w:tc>
          <w:tcPr>
            <w:tcW w:type="dxa" w:w="175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5B"/>
                <w:sz w:val="19"/>
                <w:szCs w:val="19"/>
              </w:rPr>
              <w:t xml:space="preserve">Configurações</w:t>
            </w:r>
          </w:p>
        </w:tc>
        <w:tc>
          <w:tcPr>
            <w:tcW w:type="dxa" w:w="260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19"/>
                <w:szCs w:val="19"/>
              </w:rPr>
              <w:t xml:space="preserve">Mostre os campos de meta e horário de corte.</w:t>
            </w:r>
          </w:p>
        </w:tc>
        <w:tc>
          <w:tcPr>
            <w:tcW w:type="dxa" w:w="427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E4451"/>
                <w:sz w:val="19"/>
                <w:szCs w:val="19"/>
              </w:rPr>
              <w:t xml:space="preserve">"Se a regra de negócio mudar, a gente ajusta aqui, sem precisar mexer em código."</w:t>
            </w:r>
          </w:p>
        </w:tc>
      </w:tr>
    </w:tbl>
    <w:p>
      <w:pPr>
        <w:pStyle w:val="Heading1"/>
        <w:pBdr>
          <w:bottom w:val="single" w:color="D9A42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315B"/>
          <w:sz w:val="27"/>
          <w:szCs w:val="27"/>
        </w:rPr>
        <w:t xml:space="preserve">Como fechar</w:t>
      </w:r>
    </w:p>
    <w:p>
      <w:pPr>
        <w:shd w:fill="FBEFD0" w:color="auto" w:val="clear"/>
        <w:spacing w:after="100" w:before="100" w:line="300"/>
        <w:ind w:left="100" w:right="100"/>
      </w:pPr>
      <w:r>
        <w:rPr>
          <w:rFonts w:ascii="Calibri" w:cs="Calibri" w:eastAsia="Calibri" w:hAnsi="Calibri"/>
          <w:b/>
          <w:bCs/>
          <w:i/>
          <w:iCs/>
          <w:color w:val="14315B"/>
          <w:sz w:val="20"/>
          <w:szCs w:val="20"/>
        </w:rPr>
        <w:t xml:space="preserve">"E o próximo passo já está encaminhado: o módulo de Despesas. A base de dados com o histórico de 2022 a 2026 já está carregada — falta só construir a tela para comparar gasto contra meta, mês a mês."</w:t>
      </w:r>
    </w:p>
    <w:p>
      <w:pPr>
        <w:pStyle w:val="Heading1"/>
        <w:pBdr>
          <w:bottom w:val="single" w:color="D9A42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315B"/>
          <w:sz w:val="27"/>
          <w:szCs w:val="27"/>
        </w:rPr>
        <w:t xml:space="preserve">Perguntas prováveis — e resposta curta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80"/>
      </w:tblGrid>
      <w:tr>
        <w:tc>
          <w:tcPr>
            <w:tcW w:type="dxa" w:w="360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5B"/>
                <w:sz w:val="19"/>
                <w:szCs w:val="19"/>
              </w:rPr>
              <w:t xml:space="preserve">Isso é seguro? Alguém de fora vê nossos dados?</w:t>
            </w:r>
          </w:p>
        </w:tc>
        <w:tc>
          <w:tcPr>
            <w:tcW w:type="dxa" w:w="558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19"/>
                <w:szCs w:val="19"/>
              </w:rPr>
              <w:t xml:space="preserve">Não. Os dados de cada unidade são isolados por regra do próprio banco — Dilnor não vê Nordece, e vice-versa.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5B"/>
                <w:sz w:val="19"/>
                <w:szCs w:val="19"/>
              </w:rPr>
              <w:t xml:space="preserve">E se cair a internet durante a operação?</w:t>
            </w:r>
          </w:p>
        </w:tc>
        <w:tc>
          <w:tcPr>
            <w:tcW w:type="dxa" w:w="558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19"/>
                <w:szCs w:val="19"/>
              </w:rPr>
              <w:t xml:space="preserve">O sistema continua funcionando localmente no computador e sincroniza com o banco assim que a conexão voltar.</w:t>
            </w:r>
          </w:p>
        </w:tc>
      </w:tr>
      <w:tr>
        <w:tc>
          <w:tcPr>
            <w:tcW w:type="dxa" w:w="360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5B"/>
                <w:sz w:val="19"/>
                <w:szCs w:val="19"/>
              </w:rPr>
              <w:t xml:space="preserve">Quem pode alterar os dados?</w:t>
            </w:r>
          </w:p>
        </w:tc>
        <w:tc>
          <w:tcPr>
            <w:tcW w:type="dxa" w:w="558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19"/>
                <w:szCs w:val="19"/>
              </w:rPr>
              <w:t xml:space="preserve">Só o usuário administrador. O funcionário só consulta o próprio desempenho, sem poder editar nada.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5B"/>
                <w:sz w:val="19"/>
                <w:szCs w:val="19"/>
              </w:rPr>
              <w:t xml:space="preserve">Quanto custa manter isso rodando?</w:t>
            </w:r>
          </w:p>
        </w:tc>
        <w:tc>
          <w:tcPr>
            <w:tcW w:type="dxa" w:w="558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19"/>
                <w:szCs w:val="19"/>
              </w:rPr>
              <w:t xml:space="preserve">[Responda com base no plano atual de hospedagem — Vercel e Supabase. Não há custo de servidor próprio dedicado.]</w:t>
            </w:r>
          </w:p>
        </w:tc>
      </w:tr>
      <w:tr>
        <w:tc>
          <w:tcPr>
            <w:tcW w:type="dxa" w:w="360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5B"/>
                <w:sz w:val="19"/>
                <w:szCs w:val="19"/>
              </w:rPr>
              <w:t xml:space="preserve">Isso substitui as planilhas que usamos hoje?</w:t>
            </w:r>
          </w:p>
        </w:tc>
        <w:tc>
          <w:tcPr>
            <w:tcW w:type="dxa" w:w="5580"/>
            <w:shd w:fill="F2F3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19"/>
                <w:szCs w:val="19"/>
              </w:rPr>
              <w:t xml:space="preserve">[Responda de acordo com a realidade da sua operação — quais planilhas ficam totalmente substituídas e quais ainda seguem em uso.]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5B6472"/>
          <w:sz w:val="17"/>
          <w:szCs w:val="17"/>
        </w:rPr>
        <w:t xml:space="preserve">Dica: os dois campos acima ficaram em aberto de propósito — são respostas que só você tem, sobre custo real e sobre o que hoje ainda depende de planilha. Preencha antes da reunião.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2026-08-09T20:00:33.773Z</dcterms:created>
  <dcterms:modified xsi:type="dcterms:W3CDTF">2026-08-09T20:00:33.780Z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