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 w:val="0"/>
          <w:color w:val="auto"/>
          <w:sz w:val="28"/>
          <w:szCs w:val="28"/>
          <w:highlight w:val="none"/>
          <w:u w:val="single"/>
        </w:rPr>
      </w:pPr>
      <w:r>
        <w:rPr>
          <w:b/>
          <w:bCs w:val="0"/>
          <w:color w:val="auto"/>
          <w:sz w:val="28"/>
          <w:szCs w:val="28"/>
          <w:highlight w:val="none"/>
          <w:u w:val="single"/>
        </w:rPr>
        <w:t>P12B : Analyse des risques</w:t>
      </w:r>
      <w:bookmarkStart w:id="0" w:name="_GoBack"/>
      <w:bookmarkEnd w:id="0"/>
    </w:p>
    <w:p>
      <w:pPr>
        <w:spacing w:after="0" w:line="240" w:lineRule="auto"/>
        <w:jc w:val="left"/>
        <w:rPr>
          <w:b/>
          <w:bCs w:val="0"/>
          <w:color w:val="auto"/>
          <w:highlight w:val="none"/>
          <w:u w:val="single"/>
        </w:rPr>
      </w:pPr>
    </w:p>
    <w:p>
      <w:pPr>
        <w:spacing w:after="0" w:line="240" w:lineRule="auto"/>
        <w:jc w:val="left"/>
        <w:rPr>
          <w:b/>
          <w:bCs w:val="0"/>
          <w:color w:val="auto"/>
          <w:highlight w:val="none"/>
          <w:u w:val="single"/>
        </w:rPr>
      </w:pPr>
    </w:p>
    <w:p>
      <w:pPr>
        <w:spacing w:after="0" w:line="240" w:lineRule="auto"/>
        <w:jc w:val="left"/>
        <w:rPr>
          <w:b w:val="0"/>
          <w:bCs/>
          <w:color w:val="auto"/>
          <w:highlight w:val="none"/>
          <w:u w:val="single"/>
        </w:rPr>
      </w:pPr>
      <w:r>
        <w:rPr>
          <w:b/>
          <w:bCs w:val="0"/>
          <w:color w:val="auto"/>
          <w:highlight w:val="none"/>
          <w:u w:val="single"/>
        </w:rPr>
        <w:t>Critères de cotation des risques</w:t>
      </w:r>
    </w:p>
    <w:p>
      <w:pPr>
        <w:spacing w:after="0" w:line="240" w:lineRule="auto"/>
        <w:jc w:val="left"/>
        <w:rPr>
          <w:b w:val="0"/>
          <w:bCs/>
          <w:color w:val="auto"/>
          <w:highlight w:val="none"/>
          <w:u w:val="single"/>
        </w:rPr>
      </w:pPr>
    </w:p>
    <w:p>
      <w:pPr>
        <w:spacing w:after="0" w:line="240" w:lineRule="auto"/>
        <w:jc w:val="left"/>
        <w:rPr>
          <w:b w:val="0"/>
          <w:bCs/>
          <w:color w:val="auto"/>
          <w:highlight w:val="none"/>
          <w:u w:val="none"/>
        </w:rPr>
      </w:pPr>
      <w:r>
        <w:rPr>
          <w:b/>
          <w:bCs w:val="0"/>
          <w:color w:val="auto"/>
          <w:highlight w:val="none"/>
          <w:u w:val="none"/>
        </w:rPr>
        <w:t xml:space="preserve">Risque </w:t>
      </w:r>
      <w:r>
        <w:rPr>
          <w:b w:val="0"/>
          <w:bCs/>
          <w:color w:val="auto"/>
          <w:highlight w:val="none"/>
          <w:u w:val="none"/>
        </w:rPr>
        <w:t>= G x F x M</w:t>
      </w:r>
    </w:p>
    <w:p>
      <w:pPr>
        <w:spacing w:after="0" w:line="240" w:lineRule="auto"/>
        <w:jc w:val="left"/>
        <w:rPr>
          <w:b w:val="0"/>
          <w:bCs/>
          <w:color w:val="auto"/>
          <w:highlight w:val="none"/>
          <w:u w:val="single"/>
        </w:rPr>
      </w:pPr>
    </w:p>
    <w:tbl>
      <w:tblPr>
        <w:tblStyle w:val="4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9"/>
        <w:gridCol w:w="1845"/>
        <w:gridCol w:w="846"/>
        <w:gridCol w:w="2034"/>
        <w:gridCol w:w="1875"/>
        <w:gridCol w:w="831"/>
        <w:gridCol w:w="1580"/>
        <w:gridCol w:w="2269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47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G : Gravité des conséquences</w:t>
            </w:r>
          </w:p>
        </w:tc>
        <w:tc>
          <w:tcPr>
            <w:tcW w:w="4740" w:type="dxa"/>
            <w:gridSpan w:val="3"/>
            <w:tcBorders>
              <w:left w:val="single" w:color="000000" w:sz="4" w:space="0"/>
            </w:tcBorders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 : Fréquence d</w:t>
            </w:r>
            <w:r>
              <w:rPr>
                <w:rFonts w:hint="default"/>
                <w:b/>
                <w:color w:val="auto"/>
              </w:rPr>
              <w:t>’exposition</w:t>
            </w:r>
          </w:p>
        </w:tc>
        <w:tc>
          <w:tcPr>
            <w:tcW w:w="4740" w:type="dxa"/>
            <w:gridSpan w:val="3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M : Niveau de maîtrise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Libellé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Descriptif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Note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Libellé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Descriptif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Note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Libellé</w:t>
            </w:r>
          </w:p>
        </w:tc>
        <w:tc>
          <w:tcPr>
            <w:tcW w:w="2269" w:type="dxa"/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Descriptif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center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Extrêmement 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Abandon du projet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100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Extrêmement fréquence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Plusieurs fois par jour / en permanence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Aucune maîtrise</w:t>
            </w: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Maîtrise d</w:t>
            </w:r>
            <w:r>
              <w:rPr>
                <w:rFonts w:hint="default"/>
                <w:b w:val="0"/>
                <w:bCs/>
                <w:color w:val="auto"/>
                <w:highlight w:val="none"/>
                <w:u w:val="none"/>
                <w:vertAlign w:val="baseline"/>
              </w:rPr>
              <w:t>’aucun domaine OTH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Très 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Séquelles irréversibles sur l</w:t>
            </w:r>
            <w:r>
              <w:rPr>
                <w:rFonts w:hint="default"/>
                <w:b w:val="0"/>
                <w:bCs/>
                <w:color w:val="auto"/>
                <w:highlight w:val="none"/>
                <w:u w:val="none"/>
                <w:vertAlign w:val="baseline"/>
              </w:rPr>
              <w:t>’avancement du projet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50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Très fréquent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 fois par jour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Peu maîtrisé</w:t>
            </w: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Maîtrise d</w:t>
            </w:r>
            <w:r>
              <w:rPr>
                <w:rFonts w:hint="default"/>
                <w:b w:val="0"/>
                <w:bCs/>
                <w:color w:val="auto"/>
                <w:highlight w:val="none"/>
                <w:u w:val="none"/>
                <w:vertAlign w:val="baseline"/>
              </w:rPr>
              <w:t>’un seul domaine OTH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0,8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Retard &gt; 15 jours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30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Fréquent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Au moins une fois par semaine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9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Bonne maîtrise</w:t>
            </w: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Maîtrise de 2 domaines OTH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0,5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Moyennement 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Retard &lt; 15 jours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20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Moyennement fréquent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Au moins une fois par mois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6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Très bonne maîtrise</w:t>
            </w: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Maîtrise de 3 domaines d</w:t>
            </w:r>
            <w:r>
              <w:rPr>
                <w:rFonts w:hint="default"/>
                <w:b w:val="0"/>
                <w:bCs/>
                <w:color w:val="auto"/>
                <w:highlight w:val="none"/>
                <w:u w:val="none"/>
                <w:vertAlign w:val="baseline"/>
              </w:rPr>
              <w:t>’OTH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Peu 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Retard rattrapable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10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Peu fréquent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Au moins une fois par trimestre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Très peu grave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Nuisance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</w:t>
            </w:r>
          </w:p>
        </w:tc>
        <w:tc>
          <w:tcPr>
            <w:tcW w:w="2034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  <w:r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  <w:t>Très peu fréquent</w:t>
            </w:r>
          </w:p>
        </w:tc>
        <w:tc>
          <w:tcPr>
            <w:tcW w:w="1875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Au moins une fois par an</w:t>
            </w:r>
          </w:p>
        </w:tc>
        <w:tc>
          <w:tcPr>
            <w:tcW w:w="83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  <w:r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  <w:t>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jc w:val="left"/>
              <w:rPr>
                <w:b/>
                <w:bCs w:val="0"/>
                <w:color w:val="auto"/>
                <w:highlight w:val="none"/>
                <w:u w:val="none"/>
                <w:vertAlign w:val="baseline"/>
              </w:rPr>
            </w:pPr>
          </w:p>
        </w:tc>
        <w:tc>
          <w:tcPr>
            <w:tcW w:w="2269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</w:p>
        </w:tc>
        <w:tc>
          <w:tcPr>
            <w:tcW w:w="891" w:type="dxa"/>
          </w:tcPr>
          <w:p>
            <w:pPr>
              <w:spacing w:after="0" w:line="240" w:lineRule="auto"/>
              <w:jc w:val="left"/>
              <w:rPr>
                <w:b w:val="0"/>
                <w:bCs/>
                <w:color w:val="auto"/>
                <w:highlight w:val="none"/>
                <w:u w:val="none"/>
                <w:vertAlign w:val="baseline"/>
              </w:rPr>
            </w:pPr>
          </w:p>
        </w:tc>
      </w:tr>
    </w:tbl>
    <w:p>
      <w:pPr>
        <w:spacing w:after="0" w:line="240" w:lineRule="auto"/>
        <w:jc w:val="left"/>
        <w:rPr>
          <w:b w:val="0"/>
          <w:bCs/>
          <w:color w:val="auto"/>
          <w:highlight w:val="none"/>
          <w:u w:val="none"/>
        </w:rPr>
      </w:pPr>
    </w:p>
    <w:p>
      <w:pPr>
        <w:spacing w:after="0" w:line="240" w:lineRule="auto"/>
        <w:jc w:val="left"/>
        <w:rPr>
          <w:b w:val="0"/>
          <w:bCs/>
          <w:color w:val="auto"/>
        </w:rPr>
      </w:pPr>
      <w:r>
        <w:rPr>
          <w:b/>
          <w:bCs w:val="0"/>
          <w:color w:val="auto"/>
        </w:rPr>
        <w:t xml:space="preserve">Note : </w:t>
      </w:r>
      <w:r>
        <w:rPr>
          <w:b w:val="0"/>
          <w:bCs/>
          <w:color w:val="auto"/>
        </w:rPr>
        <w:t>Domaines de maîtrise</w:t>
      </w:r>
    </w:p>
    <w:p>
      <w:pPr>
        <w:spacing w:after="0" w:line="240" w:lineRule="auto"/>
        <w:jc w:val="left"/>
        <w:rPr>
          <w:b w:val="0"/>
          <w:bCs/>
          <w:color w:val="auto"/>
        </w:rPr>
      </w:pPr>
      <w:r>
        <w:rPr>
          <w:b w:val="0"/>
          <w:bCs/>
          <w:color w:val="auto"/>
        </w:rPr>
        <w:t>O (Organisation) : Mode opératoire établi connu et appliqué</w:t>
      </w:r>
    </w:p>
    <w:p>
      <w:pPr>
        <w:spacing w:after="0" w:line="240" w:lineRule="auto"/>
        <w:jc w:val="left"/>
        <w:rPr>
          <w:b w:val="0"/>
          <w:bCs/>
          <w:color w:val="auto"/>
        </w:rPr>
      </w:pPr>
      <w:r>
        <w:rPr>
          <w:b w:val="0"/>
          <w:bCs/>
          <w:color w:val="auto"/>
        </w:rPr>
        <w:t>T (Technique) : Matériel adapté, vérifié et en bon état</w:t>
      </w:r>
    </w:p>
    <w:p>
      <w:pPr>
        <w:spacing w:after="0" w:line="240" w:lineRule="auto"/>
        <w:jc w:val="left"/>
        <w:rPr>
          <w:b w:val="0"/>
          <w:bCs/>
          <w:color w:val="auto"/>
        </w:rPr>
      </w:pPr>
      <w:r>
        <w:rPr>
          <w:b w:val="0"/>
          <w:bCs/>
          <w:color w:val="auto"/>
        </w:rPr>
        <w:t>H (Humain) : Formation, appropriation par la chaîne hiérarchique</w:t>
      </w:r>
    </w:p>
    <w:p>
      <w:pPr>
        <w:spacing w:after="0" w:line="240" w:lineRule="auto"/>
        <w:jc w:val="left"/>
        <w:rPr>
          <w:b w:val="0"/>
          <w:bCs/>
          <w:color w:val="auto"/>
        </w:rPr>
      </w:pPr>
    </w:p>
    <w:p>
      <w:pPr>
        <w:spacing w:after="0" w:line="240" w:lineRule="auto"/>
        <w:jc w:val="left"/>
        <w:rPr>
          <w:b w:val="0"/>
          <w:bCs/>
          <w:color w:val="auto"/>
          <w:u w:val="single"/>
        </w:rPr>
      </w:pPr>
      <w:r>
        <w:rPr>
          <w:b/>
          <w:bCs w:val="0"/>
          <w:color w:val="auto"/>
          <w:u w:val="single"/>
        </w:rPr>
        <w:t>Hiérarchisation</w:t>
      </w:r>
    </w:p>
    <w:p>
      <w:pPr>
        <w:spacing w:after="0" w:line="240" w:lineRule="auto"/>
        <w:jc w:val="left"/>
        <w:rPr>
          <w:b w:val="0"/>
          <w:bCs/>
          <w:color w:val="auto"/>
          <w:u w:val="single"/>
        </w:rPr>
      </w:pPr>
    </w:p>
    <w:p>
      <w:pPr>
        <w:spacing w:after="0" w:line="240" w:lineRule="auto"/>
        <w:jc w:val="left"/>
        <w:rPr>
          <w:b w:val="0"/>
          <w:bCs/>
          <w:color w:val="auto"/>
          <w:u w:val="single"/>
        </w:rPr>
      </w:pPr>
    </w:p>
    <w:tbl>
      <w:tblPr>
        <w:tblStyle w:val="4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40"/>
        <w:gridCol w:w="4740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/>
                <w:color w:val="auto"/>
                <w:vertAlign w:val="baseline"/>
              </w:rPr>
            </w:pPr>
            <w:r>
              <w:rPr>
                <w:b/>
                <w:color w:val="auto"/>
                <w:vertAlign w:val="baseline"/>
              </w:rPr>
              <w:t>Résultat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/>
                <w:color w:val="auto"/>
                <w:vertAlign w:val="baseline"/>
              </w:rPr>
            </w:pPr>
            <w:r>
              <w:rPr>
                <w:b/>
                <w:color w:val="auto"/>
                <w:vertAlign w:val="baseline"/>
              </w:rPr>
              <w:t>Niveau de risque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/>
                <w:color w:val="auto"/>
                <w:vertAlign w:val="baseline"/>
              </w:rPr>
            </w:pPr>
            <w:r>
              <w:rPr>
                <w:b/>
                <w:color w:val="auto"/>
                <w:vertAlign w:val="baseline"/>
              </w:rPr>
              <w:t>Capacité d</w:t>
            </w:r>
            <w:r>
              <w:rPr>
                <w:rFonts w:hint="default"/>
                <w:b/>
                <w:color w:val="auto"/>
                <w:vertAlign w:val="baseline"/>
              </w:rPr>
              <w:t>’action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+ 600</w:t>
            </w:r>
          </w:p>
        </w:tc>
        <w:tc>
          <w:tcPr>
            <w:tcW w:w="4740" w:type="dxa"/>
            <w:shd w:val="clear" w:color="auto" w:fill="7030A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Risque très important</w:t>
            </w:r>
          </w:p>
        </w:tc>
        <w:tc>
          <w:tcPr>
            <w:tcW w:w="4740" w:type="dxa"/>
            <w:shd w:val="clear" w:color="auto" w:fill="7030A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Action immédiate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350 à 600</w:t>
            </w:r>
          </w:p>
        </w:tc>
        <w:tc>
          <w:tcPr>
            <w:tcW w:w="4740" w:type="dxa"/>
            <w:shd w:val="clear" w:color="auto" w:fill="FF000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Risque important</w:t>
            </w:r>
          </w:p>
        </w:tc>
        <w:tc>
          <w:tcPr>
            <w:tcW w:w="4740" w:type="dxa"/>
            <w:shd w:val="clear" w:color="auto" w:fill="FF000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Action à planifier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150 à 350</w:t>
            </w:r>
          </w:p>
        </w:tc>
        <w:tc>
          <w:tcPr>
            <w:tcW w:w="474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Risque modéré</w:t>
            </w:r>
          </w:p>
        </w:tc>
        <w:tc>
          <w:tcPr>
            <w:tcW w:w="474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Action possible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40" w:type="dxa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- 150</w:t>
            </w:r>
          </w:p>
        </w:tc>
        <w:tc>
          <w:tcPr>
            <w:tcW w:w="4740" w:type="dxa"/>
            <w:shd w:val="clear" w:color="auto" w:fill="3EDB19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Risque faible</w:t>
            </w:r>
          </w:p>
        </w:tc>
        <w:tc>
          <w:tcPr>
            <w:tcW w:w="4740" w:type="dxa"/>
            <w:shd w:val="clear" w:color="auto" w:fill="3EDB19"/>
          </w:tcPr>
          <w:p>
            <w:pPr>
              <w:spacing w:after="0" w:line="240" w:lineRule="auto"/>
              <w:jc w:val="center"/>
              <w:rPr>
                <w:b w:val="0"/>
                <w:bCs/>
                <w:color w:val="auto"/>
                <w:vertAlign w:val="baseline"/>
              </w:rPr>
            </w:pPr>
            <w:r>
              <w:rPr>
                <w:b w:val="0"/>
                <w:bCs/>
                <w:color w:val="auto"/>
                <w:vertAlign w:val="baseline"/>
              </w:rPr>
              <w:t>Maintenir la vigilance</w:t>
            </w:r>
          </w:p>
        </w:tc>
      </w:tr>
    </w:tbl>
    <w:p>
      <w:pPr>
        <w:spacing w:after="0" w:line="240" w:lineRule="auto"/>
        <w:jc w:val="center"/>
        <w:rPr>
          <w:b/>
          <w:color w:val="auto"/>
        </w:rPr>
      </w:pPr>
    </w:p>
    <w:p>
      <w:pPr>
        <w:spacing w:after="0" w:line="240" w:lineRule="auto"/>
        <w:jc w:val="center"/>
        <w:rPr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pacing w:after="0" w:line="240" w:lineRule="auto"/>
        <w:jc w:val="center"/>
        <w:rPr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pacing w:after="0" w:line="240" w:lineRule="auto"/>
        <w:jc w:val="center"/>
        <w:rPr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tbl>
      <w:tblPr>
        <w:tblStyle w:val="4"/>
        <w:tblW w:w="14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4005"/>
        <w:gridCol w:w="3000"/>
        <w:gridCol w:w="690"/>
        <w:gridCol w:w="562"/>
        <w:gridCol w:w="608"/>
        <w:gridCol w:w="70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513" w:type="dxa"/>
            <w:vMerge w:val="restart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Identification des risques</w:t>
            </w:r>
          </w:p>
        </w:tc>
        <w:tc>
          <w:tcPr>
            <w:tcW w:w="4005" w:type="dxa"/>
            <w:vMerge w:val="restart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Conditions d’expositions</w:t>
            </w:r>
          </w:p>
        </w:tc>
        <w:tc>
          <w:tcPr>
            <w:tcW w:w="3000" w:type="dxa"/>
            <w:vMerge w:val="restart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Commentaires</w:t>
            </w:r>
          </w:p>
        </w:tc>
        <w:tc>
          <w:tcPr>
            <w:tcW w:w="2565" w:type="dxa"/>
            <w:gridSpan w:val="4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Evaluation du risque</w:t>
            </w:r>
          </w:p>
        </w:tc>
        <w:tc>
          <w:tcPr>
            <w:tcW w:w="2085" w:type="dxa"/>
            <w:vMerge w:val="restart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Solutions envisagées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513" w:type="dxa"/>
            <w:vMerge w:val="continue"/>
            <w:tcBorders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</w:p>
        </w:tc>
        <w:tc>
          <w:tcPr>
            <w:tcW w:w="4005" w:type="dxa"/>
            <w:vMerge w:val="continue"/>
            <w:tcBorders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</w:p>
        </w:tc>
        <w:tc>
          <w:tcPr>
            <w:tcW w:w="3000" w:type="dxa"/>
            <w:vMerge w:val="continue"/>
            <w:tcBorders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</w:p>
        </w:tc>
        <w:tc>
          <w:tcPr>
            <w:tcW w:w="690" w:type="dxa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G</w:t>
            </w:r>
          </w:p>
        </w:tc>
        <w:tc>
          <w:tcPr>
            <w:tcW w:w="562" w:type="dxa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</w:t>
            </w:r>
          </w:p>
        </w:tc>
        <w:tc>
          <w:tcPr>
            <w:tcW w:w="608" w:type="dxa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M</w:t>
            </w:r>
          </w:p>
        </w:tc>
        <w:tc>
          <w:tcPr>
            <w:tcW w:w="705" w:type="dxa"/>
            <w:shd w:val="clear" w:color="auto" w:fill="9CC2E5" w:themeFill="accent1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R</w:t>
            </w:r>
          </w:p>
        </w:tc>
        <w:tc>
          <w:tcPr>
            <w:tcW w:w="2085" w:type="dxa"/>
            <w:vMerge w:val="continue"/>
            <w:tcBorders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Charge mentale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Surcharge de travail extérieure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Stress de ne pas pouvoir finir à temps.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Sensation de blocage compte tenu de nos connaissances et de notre expérience.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Sensation individuelle de ne pas pouvoir aider le groupe.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  <w:r>
              <w:t xml:space="preserve">La charge de travail demandé par l’ENSTA est assez importante et il est difficile pour les étudiants de gérer tous les travails qui sont demandés.  </w:t>
            </w:r>
          </w:p>
        </w:tc>
        <w:tc>
          <w:tcPr>
            <w:tcW w:w="690" w:type="dxa"/>
            <w:shd w:val="clear" w:color="auto" w:fill="7030A0"/>
            <w:vAlign w:val="center"/>
          </w:tcPr>
          <w:p>
            <w:pPr>
              <w:spacing w:after="0" w:line="24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50</w:t>
            </w:r>
          </w:p>
        </w:tc>
        <w:tc>
          <w:tcPr>
            <w:tcW w:w="562" w:type="dxa"/>
            <w:shd w:val="clear" w:color="auto" w:fill="7030A0"/>
            <w:vAlign w:val="center"/>
          </w:tcPr>
          <w:p>
            <w:pPr>
              <w:spacing w:after="0" w:line="24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608" w:type="dxa"/>
            <w:shd w:val="clear" w:color="auto" w:fill="7030A0"/>
            <w:vAlign w:val="center"/>
          </w:tcPr>
          <w:p>
            <w:pPr>
              <w:spacing w:after="0" w:line="24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705" w:type="dxa"/>
            <w:shd w:val="clear" w:color="auto" w:fill="7030A0"/>
            <w:vAlign w:val="center"/>
          </w:tcPr>
          <w:p>
            <w:pPr>
              <w:spacing w:after="0" w:line="24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450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Planification précise et en amont des tâches à effectuer, augmentation des créneaux  de PIE. Les élèves peuvent être plus aidés pour ce qui est technique.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Apprentissage nécessaire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Il y a beaucoup de compétences nécessaires à la réalisation du projet qu</w:t>
            </w:r>
            <w:r>
              <w:rPr>
                <w:rFonts w:hint="default"/>
              </w:rPr>
              <w:t>’on n’a pas apprises en cours. Il est donc nécessaire de les apprendre de notre côté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  <w:r>
              <w:t>Le risque est de mettre beaucoup plus de temps que prévu à avoir les compétences nécessaires pour avancer</w:t>
            </w:r>
          </w:p>
        </w:tc>
        <w:tc>
          <w:tcPr>
            <w:tcW w:w="690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562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608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180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Pas de moyen pour répondre à ce risque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Risque d’incendie</w:t>
            </w:r>
            <w:r>
              <w:rPr>
                <w:b/>
                <w:sz w:val="23"/>
                <w:szCs w:val="23"/>
              </w:rPr>
              <w:t xml:space="preserve"> et </w:t>
            </w:r>
            <w:r>
              <w:rPr>
                <w:b/>
                <w:sz w:val="23"/>
                <w:szCs w:val="23"/>
              </w:rPr>
              <w:t>br</w:t>
            </w:r>
            <w:r>
              <w:rPr>
                <w:b/>
                <w:sz w:val="23"/>
                <w:szCs w:val="23"/>
              </w:rPr>
              <w:t>û</w:t>
            </w:r>
            <w:r>
              <w:rPr>
                <w:b/>
                <w:sz w:val="23"/>
                <w:szCs w:val="23"/>
              </w:rPr>
              <w:t>lures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Les étudiants travaillent sur des composants électroniques et électriques susceptibles d’atteindre de très haute température et parfois de prendre feu.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Les étudiants seront amenés à amenés des pièces en 3D et pourront potentiellement se bruler.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De même pour l’utilisation d’un fer à souder.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Manipulation de batteries LIPb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50</w:t>
            </w:r>
          </w:p>
        </w:tc>
        <w:tc>
          <w:tcPr>
            <w:tcW w:w="562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9</w:t>
            </w:r>
          </w:p>
        </w:tc>
        <w:tc>
          <w:tcPr>
            <w:tcW w:w="608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0,5</w:t>
            </w:r>
          </w:p>
        </w:tc>
        <w:tc>
          <w:tcPr>
            <w:tcW w:w="705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225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Achat de radiateur à fixer sur la carte, précautions d’utilisation.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Blessure, coupure, projection de débris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Equipement de travail et petit outillage peuvent entrainer des coupures, piqures, et tout autres blessures.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La découpe de matériau peut projeter des débris, et être dangereux. 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50</w:t>
            </w:r>
          </w:p>
        </w:tc>
        <w:tc>
          <w:tcPr>
            <w:tcW w:w="562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6</w:t>
            </w:r>
          </w:p>
        </w:tc>
        <w:tc>
          <w:tcPr>
            <w:tcW w:w="608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0,5</w:t>
            </w:r>
          </w:p>
        </w:tc>
        <w:tc>
          <w:tcPr>
            <w:tcW w:w="705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150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Lunettes de protection, consignes de sécurité.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Risques électriques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Utilisation de matériel électrique et électronique.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50</w:t>
            </w:r>
          </w:p>
        </w:tc>
        <w:tc>
          <w:tcPr>
            <w:tcW w:w="562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6</w:t>
            </w:r>
          </w:p>
        </w:tc>
        <w:tc>
          <w:tcPr>
            <w:tcW w:w="608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0,5</w:t>
            </w:r>
          </w:p>
        </w:tc>
        <w:tc>
          <w:tcPr>
            <w:tcW w:w="705" w:type="dxa"/>
            <w:shd w:val="clear" w:color="auto" w:fill="FFFF00"/>
            <w:vAlign w:val="center"/>
          </w:tcPr>
          <w:p>
            <w:pPr>
              <w:spacing w:after="0" w:line="240" w:lineRule="auto"/>
              <w:jc w:val="both"/>
            </w:pPr>
            <w:r>
              <w:t>150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Précautions d’utilisation.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Risques toxiques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Le plastique de l’imprimante 3D produit des vapeurs un peu toxiques.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Manipulation de batteries LiPb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50</w:t>
            </w:r>
          </w:p>
        </w:tc>
        <w:tc>
          <w:tcPr>
            <w:tcW w:w="562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608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0,5</w:t>
            </w:r>
          </w:p>
        </w:tc>
        <w:tc>
          <w:tcPr>
            <w:tcW w:w="705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100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Eviter de rester dans la pièce pendant l’impression d’une pièce.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Dommage émotionnel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La course est une compétition, la perte de la course peut entraîner une certaine déception. 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562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608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705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Pas de moyen pour répondre à ce</w:t>
            </w:r>
            <w:r>
              <w:t xml:space="preserve"> risque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Fatigue visuelle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Travail sur écran la plupart du temps.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562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14</w:t>
            </w:r>
          </w:p>
        </w:tc>
        <w:tc>
          <w:tcPr>
            <w:tcW w:w="608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0,8</w:t>
            </w:r>
          </w:p>
        </w:tc>
        <w:tc>
          <w:tcPr>
            <w:tcW w:w="705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112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Pas de moyen pour répondre à cet objectif.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Positions inconfortables</w:t>
            </w:r>
          </w:p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Les élèves doivent s’accroupir pour manipuler la voiture.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690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562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14</w:t>
            </w:r>
          </w:p>
        </w:tc>
        <w:tc>
          <w:tcPr>
            <w:tcW w:w="608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0,8</w:t>
            </w:r>
          </w:p>
        </w:tc>
        <w:tc>
          <w:tcPr>
            <w:tcW w:w="705" w:type="dxa"/>
            <w:shd w:val="clear" w:color="auto" w:fill="3EDB19"/>
            <w:vAlign w:val="center"/>
          </w:tcPr>
          <w:p>
            <w:pPr>
              <w:spacing w:after="0" w:line="240" w:lineRule="auto"/>
              <w:jc w:val="both"/>
            </w:pPr>
            <w:r>
              <w:t>112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Manipuler au maximum sur une table avant de faire les essais sur le sol.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center"/>
          </w:tcPr>
          <w:p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Casse de matériel</w:t>
            </w:r>
          </w:p>
        </w:tc>
        <w:tc>
          <w:tcPr>
            <w:tcW w:w="4005" w:type="dxa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Un matériel peut tomber en panne ou avoir subi un défaut de fabrication.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jc w:val="both"/>
            </w:pPr>
            <w:r>
              <w:t>Le labo de robotique peut prêter certaines pièces aux élèves.</w:t>
            </w:r>
          </w:p>
        </w:tc>
        <w:tc>
          <w:tcPr>
            <w:tcW w:w="690" w:type="dxa"/>
            <w:shd w:val="clear" w:color="auto" w:fill="FF0000"/>
            <w:vAlign w:val="center"/>
          </w:tcPr>
          <w:p>
            <w:pPr>
              <w:spacing w:after="0" w:line="240" w:lineRule="auto"/>
              <w:jc w:val="both"/>
            </w:pPr>
            <w:r>
              <w:t>100</w:t>
            </w:r>
          </w:p>
        </w:tc>
        <w:tc>
          <w:tcPr>
            <w:tcW w:w="562" w:type="dxa"/>
            <w:shd w:val="clear" w:color="auto" w:fill="FF0000"/>
            <w:vAlign w:val="center"/>
          </w:tcPr>
          <w:p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608" w:type="dxa"/>
            <w:shd w:val="clear" w:color="auto" w:fill="FF0000"/>
            <w:vAlign w:val="center"/>
          </w:tcPr>
          <w:p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705" w:type="dxa"/>
            <w:shd w:val="clear" w:color="auto" w:fill="FF0000"/>
            <w:vAlign w:val="center"/>
          </w:tcPr>
          <w:p>
            <w:pPr>
              <w:spacing w:after="0" w:line="240" w:lineRule="auto"/>
              <w:jc w:val="both"/>
            </w:pPr>
            <w:r>
              <w:t>400</w:t>
            </w:r>
          </w:p>
        </w:tc>
        <w:tc>
          <w:tcPr>
            <w:tcW w:w="2085" w:type="dxa"/>
            <w:vAlign w:val="center"/>
          </w:tcPr>
          <w:p>
            <w:pPr>
              <w:spacing w:after="0" w:line="240" w:lineRule="auto"/>
              <w:jc w:val="both"/>
            </w:pPr>
            <w:r>
              <w:t>Il faudrait acheter des pièces de rechanges.</w:t>
            </w:r>
          </w:p>
        </w:tc>
      </w:tr>
    </w:tbl>
    <w:p/>
    <w:sectPr>
      <w:pgSz w:w="16838" w:h="11906" w:orient="landscape"/>
      <w:pgMar w:top="1417" w:right="1417" w:bottom="1417" w:left="141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67AFC"/>
    <w:multiLevelType w:val="multilevel"/>
    <w:tmpl w:val="3CF67A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27085E"/>
    <w:multiLevelType w:val="multilevel"/>
    <w:tmpl w:val="422708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D71BF5"/>
    <w:multiLevelType w:val="multilevel"/>
    <w:tmpl w:val="6DD71B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28"/>
    <w:rsid w:val="00002AE9"/>
    <w:rsid w:val="000F4528"/>
    <w:rsid w:val="001B3521"/>
    <w:rsid w:val="001E35BA"/>
    <w:rsid w:val="00362CFC"/>
    <w:rsid w:val="005161B7"/>
    <w:rsid w:val="009A3256"/>
    <w:rsid w:val="00C822C4"/>
    <w:rsid w:val="00CF092A"/>
    <w:rsid w:val="00F0404D"/>
    <w:rsid w:val="3BEF1088"/>
    <w:rsid w:val="59AFE1D3"/>
    <w:rsid w:val="66FF605A"/>
    <w:rsid w:val="67D5C754"/>
    <w:rsid w:val="6BF7E346"/>
    <w:rsid w:val="6BFE2014"/>
    <w:rsid w:val="6DF6EEB9"/>
    <w:rsid w:val="73E9A9D5"/>
    <w:rsid w:val="76E6480C"/>
    <w:rsid w:val="7706E9C8"/>
    <w:rsid w:val="774D4A98"/>
    <w:rsid w:val="7AD20C13"/>
    <w:rsid w:val="7AFAC8CD"/>
    <w:rsid w:val="7AFF022B"/>
    <w:rsid w:val="7B5D646B"/>
    <w:rsid w:val="7BDA4327"/>
    <w:rsid w:val="7DC75361"/>
    <w:rsid w:val="7EEFA3D8"/>
    <w:rsid w:val="7FBFD3EA"/>
    <w:rsid w:val="7FFFE1CC"/>
    <w:rsid w:val="BCF7C2F0"/>
    <w:rsid w:val="BFCF6C91"/>
    <w:rsid w:val="EFFBE082"/>
    <w:rsid w:val="F74F50F3"/>
    <w:rsid w:val="F78C126E"/>
    <w:rsid w:val="F9F300EB"/>
    <w:rsid w:val="FEE3BCCB"/>
    <w:rsid w:val="FF0DF201"/>
    <w:rsid w:val="FFEB8993"/>
    <w:rsid w:val="FFF5E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8EF7A-92CA-496E-8D60-F5333E6EB547}"/>
</file>

<file path=customXml/itemProps3.xml><?xml version="1.0" encoding="utf-8"?>
<ds:datastoreItem xmlns:ds="http://schemas.openxmlformats.org/officeDocument/2006/customXml" ds:itemID="{828798B8-1B00-44A2-A643-F5BFD553C064}"/>
</file>

<file path=customXml/itemProps4.xml><?xml version="1.0" encoding="utf-8"?>
<ds:datastoreItem xmlns:ds="http://schemas.openxmlformats.org/officeDocument/2006/customXml" ds:itemID="{BFF14E21-C48E-48AE-80A2-FD190DCC9A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349</Words>
  <Characters>1923</Characters>
  <Lines>16</Lines>
  <Paragraphs>4</Paragraphs>
  <TotalTime>60</TotalTime>
  <ScaleCrop>false</ScaleCrop>
  <LinksUpToDate>false</LinksUpToDate>
  <CharactersWithSpaces>2268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madeleine</cp:lastModifiedBy>
  <cp:revision>3</cp:revision>
  <dcterms:created xsi:type="dcterms:W3CDTF">2020-01-10T16:04:00Z</dcterms:created>
  <dcterms:modified xsi:type="dcterms:W3CDTF">2020-01-17T15:14:54Z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  <property fmtid="{D5CDD505-2E9C-101B-9397-08002B2CF9AE}" pid="3" name="ContentTypeId">
    <vt:lpwstr>0x010100AEF10D0482446341A3F07F05D5547F11</vt:lpwstr>
  </property>
</Properties>
</file>