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1D2DE4D2" w14:textId="77777777" w:rsidR="00B0277E" w:rsidRPr="00CA5E8B" w:rsidRDefault="00B0277E" w:rsidP="00CA5E8B">
      <w:pPr>
        <w:jc w:val="both"/>
        <w:rPr>
          <w:sz w:val="40"/>
          <w:szCs w:val="40"/>
        </w:rPr>
      </w:pPr>
    </w:p>
    <w:p w14:paraId="342555EA" w14:textId="52932545" w:rsidR="00AF5907" w:rsidRPr="00B0277E" w:rsidRDefault="00B0277E" w:rsidP="00195A9E">
      <w:pPr>
        <w:jc w:val="both"/>
        <w:rPr>
          <w:rFonts w:cstheme="minorHAnsi"/>
        </w:rPr>
      </w:pPr>
      <w:r w:rsidRPr="00B0277E">
        <w:rPr>
          <w:rFonts w:cstheme="minorHAnsi"/>
          <w:color w:val="0D0D0D"/>
          <w:shd w:val="clear" w:color="auto" w:fill="FFFFFF"/>
        </w:rPr>
        <w:t>O Banco Vitória (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>), instituição financeira de caráter inovador, tem consolidado sua posição no mercado financeiro</w:t>
      </w:r>
      <w:r>
        <w:rPr>
          <w:rFonts w:cstheme="minorHAnsi"/>
          <w:color w:val="0D0D0D"/>
          <w:shd w:val="clear" w:color="auto" w:fill="FFFFFF"/>
        </w:rPr>
        <w:t xml:space="preserve">. </w:t>
      </w:r>
      <w:r w:rsidRPr="00B0277E">
        <w:rPr>
          <w:rFonts w:cstheme="minorHAnsi"/>
          <w:color w:val="0D0D0D"/>
          <w:shd w:val="clear" w:color="auto" w:fill="FFFFFF"/>
        </w:rPr>
        <w:t xml:space="preserve">Com uma gama diversificada de produtos e serviços, o 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 xml:space="preserve"> se destaca pela sua abordagem personalizada na gestão de relações com clientes e na oferta de soluções financeiras.</w:t>
      </w:r>
    </w:p>
    <w:p w14:paraId="0228EF1D" w14:textId="51AC346C" w:rsidR="00AF5907" w:rsidRDefault="00B0277E" w:rsidP="00195A9E">
      <w:pPr>
        <w:jc w:val="both"/>
      </w:pPr>
      <w:r>
        <w:t>Porém, agora e</w:t>
      </w:r>
      <w:r w:rsidR="00640999">
        <w:t>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 w:rsidR="00640999">
        <w:t xml:space="preserve">aumentará </w:t>
      </w:r>
      <w:r w:rsidR="00195A9E">
        <w:t>pelos próximos anos</w:t>
      </w:r>
      <w:r w:rsidR="00640999">
        <w:t>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7FB7B872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</w:t>
      </w:r>
      <w:r w:rsidR="00B0277E">
        <w:t xml:space="preserve"> da </w:t>
      </w:r>
      <w:proofErr w:type="spellStart"/>
      <w:r w:rsidR="00B0277E">
        <w:t>BanVic</w:t>
      </w:r>
      <w:proofErr w:type="spellEnd"/>
      <w:r w:rsidR="00B0277E">
        <w:t>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45226A67" w14:textId="04B01A85" w:rsidR="00663D67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E352435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</w:t>
      </w:r>
      <w:r w:rsidR="00D9511C">
        <w:t>, feitos por meio da guia Indicadores do Power BI</w:t>
      </w:r>
      <w:r w:rsidR="008D0E4B">
        <w:t>. Cada uma dessas abas dispõe sobre um determinado interesse em específico.</w:t>
      </w:r>
    </w:p>
    <w:p w14:paraId="1EA22BDA" w14:textId="31F3AD19" w:rsidR="00220F30" w:rsidRDefault="00B97A9E" w:rsidP="00195A9E">
      <w:pPr>
        <w:jc w:val="both"/>
      </w:pPr>
      <w:r>
        <w:t>A primeira aba está relacionada a indicativos das agências. Aqui é disposto o número de contas ativas</w:t>
      </w:r>
      <w:r w:rsidR="00854A90">
        <w:t xml:space="preserve"> (considerando a utilização da conta nos últimos 2 anos)</w:t>
      </w:r>
      <w:r>
        <w:t>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12929B35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r w:rsidR="00760183">
        <w:t>E</w:t>
      </w:r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 xml:space="preserve">Fonte: Dashboard </w:t>
      </w:r>
      <w:proofErr w:type="spellStart"/>
      <w:r w:rsidR="00B97A9E" w:rsidRPr="00B97A9E">
        <w:rPr>
          <w:sz w:val="16"/>
          <w:szCs w:val="16"/>
        </w:rPr>
        <w:t>BanVic</w:t>
      </w:r>
      <w:proofErr w:type="spellEnd"/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5DE2DD4D" w:rsidR="00B97A9E" w:rsidRDefault="00B97A9E" w:rsidP="00B97A9E">
      <w:r w:rsidRPr="00B97A9E">
        <w:t>A</w:t>
      </w:r>
      <w:r>
        <w:t xml:space="preserve"> segunda aba está relacionada aos clientes da </w:t>
      </w:r>
      <w:proofErr w:type="spellStart"/>
      <w:r>
        <w:t>BanVic</w:t>
      </w:r>
      <w:proofErr w:type="spellEnd"/>
      <w:r>
        <w:t>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A34DF1">
        <w:t>,</w:t>
      </w:r>
      <w:r w:rsidR="004F4C0E">
        <w:t xml:space="preserve"> </w:t>
      </w:r>
      <w:r w:rsidR="00A42240">
        <w:t>o gráfico de faixa etária dos clientes</w:t>
      </w:r>
      <w:r w:rsidR="00A34DF1">
        <w:t xml:space="preserve"> e o filtro de agência.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6350B893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5435" cy="2995930"/>
            <wp:effectExtent l="0" t="0" r="5715" b="0"/>
            <wp:wrapTopAndBottom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3CBE1030" w:rsidR="004027D1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</w:t>
      </w:r>
      <w:proofErr w:type="spellStart"/>
      <w:r w:rsidR="00CE4DCA">
        <w:t>BanVic</w:t>
      </w:r>
      <w:proofErr w:type="spellEnd"/>
      <w:r w:rsidR="00CE4DCA">
        <w:t xml:space="preserve">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5C2ED9EE" w:rsidR="00762E3A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6ABF925D" w14:textId="5C0B7A3D" w:rsidR="00762E3A" w:rsidRPr="00636C95" w:rsidRDefault="00636C95">
      <w:pPr>
        <w:rPr>
          <w:sz w:val="40"/>
          <w:szCs w:val="40"/>
        </w:rPr>
      </w:pPr>
      <w:r w:rsidRPr="00636C95">
        <w:rPr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0AC6E1F" w14:textId="48398055" w:rsid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Análise para entendimento do negócio</w:t>
      </w:r>
    </w:p>
    <w:p w14:paraId="778AD9B5" w14:textId="77777777" w:rsidR="00854A90" w:rsidRDefault="00854A90">
      <w:pPr>
        <w:rPr>
          <w:sz w:val="28"/>
          <w:szCs w:val="28"/>
        </w:rPr>
      </w:pPr>
    </w:p>
    <w:p w14:paraId="31397C88" w14:textId="1A038850" w:rsidR="00854A90" w:rsidRDefault="00854A90">
      <w:r>
        <w:t>Agora que o</w:t>
      </w:r>
      <w:r w:rsidRPr="00854A90">
        <w:t xml:space="preserve"> dashboard </w:t>
      </w:r>
      <w:r>
        <w:t xml:space="preserve">foi </w:t>
      </w:r>
      <w:r w:rsidRPr="00854A90">
        <w:t>apresentado</w:t>
      </w:r>
      <w:r>
        <w:t>, o processo de extração de alguns insights sobre o funcionamento do negócio se torna mais palpável e claro para entendimento.</w:t>
      </w:r>
    </w:p>
    <w:p w14:paraId="2E871444" w14:textId="77777777" w:rsidR="007F6620" w:rsidRDefault="00854A90">
      <w:r>
        <w:t xml:space="preserve">Considerando a aba de agência, é perceptível a diferença nítida de resultado entre as agências físicas e a digital. O total de </w:t>
      </w:r>
      <w:r w:rsidR="009A55B1">
        <w:t xml:space="preserve">contas ativas é de 787, sendo 396 filiadas </w:t>
      </w:r>
      <w:proofErr w:type="spellStart"/>
      <w:r w:rsidR="009A55B1">
        <w:t>a</w:t>
      </w:r>
      <w:proofErr w:type="spellEnd"/>
      <w:r w:rsidR="009A55B1">
        <w:t xml:space="preserve"> agência digital. Sobre saldo final das contas, a agência digital possui 12 dos 26 milhões totais. </w:t>
      </w:r>
    </w:p>
    <w:p w14:paraId="09CCF453" w14:textId="159920AC" w:rsidR="009A55B1" w:rsidRDefault="009A55B1">
      <w:r>
        <w:t>Ou seja, a agência digital possui um potencial muito maior do que as agências físicas e com menor custo laboral, por ter apenas 7 dos 100 colaboradores em sua gestão.</w:t>
      </w:r>
    </w:p>
    <w:p w14:paraId="55FCFFE3" w14:textId="628FA23B" w:rsidR="009301AF" w:rsidRDefault="009301AF">
      <w:r>
        <w:t xml:space="preserve">Seguindo o estudo, na aba Clientes, o número de clientes em diferentes faixas etárias é bem distribuído. Contudo, é possível considerar que a quantidade de clientes acima de 60 anos é bastante alta, o que poderia render um marketing focado nessa faixa etária, incluindo para crédito consignado. </w:t>
      </w:r>
    </w:p>
    <w:p w14:paraId="334248FE" w14:textId="67FC0174" w:rsidR="007740A9" w:rsidRDefault="00853BDA">
      <w:r>
        <w:t>Agora,</w:t>
      </w:r>
      <w:r w:rsidR="009301AF">
        <w:t xml:space="preserve"> sobre </w:t>
      </w:r>
      <w:r>
        <w:t>a questão do crédito, 935 das 2000 propostas foram feitas pela agência digital, sendo que houve 1,1% a mais de aprovação delas em comparação a média de todas as agências. Isso mostra que investir em crédito pela agência digital traz bastante retorno e melhora a chance do cliente de conseguir a respostas esperada.</w:t>
      </w:r>
    </w:p>
    <w:p w14:paraId="65300855" w14:textId="77FF9798" w:rsidR="00853BDA" w:rsidRDefault="00853BDA">
      <w:r>
        <w:t>Por fim, compreendendo a aba transações, fica nítido o quanto o pix se tornou uma importante forma de transferência monetária, mas que a transferência bancária ainda é o tipo de transação que mais movimenta dinheiro, mesmo a quantidade de transações ser apenas maior do que a do boleto.</w:t>
      </w:r>
    </w:p>
    <w:p w14:paraId="55F8E856" w14:textId="77777777" w:rsidR="00610A9E" w:rsidRDefault="00610A9E"/>
    <w:p w14:paraId="262A1003" w14:textId="6BC2AE48" w:rsidR="00762E3A" w:rsidRP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Conclusão e recomendações</w:t>
      </w:r>
    </w:p>
    <w:p w14:paraId="22E698A0" w14:textId="762FFC92" w:rsidR="00D50CCE" w:rsidRDefault="00941178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br/>
      </w:r>
      <w:r w:rsidRPr="00941178">
        <w:rPr>
          <w:rFonts w:cstheme="minorHAnsi"/>
          <w:color w:val="0D0D0D"/>
          <w:shd w:val="clear" w:color="auto" w:fill="FFFFFF"/>
        </w:rPr>
        <w:t>Com base nas análises apresentadas e nos insights obtidos do dashboard do Banco Vitória (</w:t>
      </w:r>
      <w:proofErr w:type="spellStart"/>
      <w:r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941178">
        <w:rPr>
          <w:rFonts w:cstheme="minorHAnsi"/>
          <w:color w:val="0D0D0D"/>
          <w:shd w:val="clear" w:color="auto" w:fill="FFFFFF"/>
        </w:rPr>
        <w:t>), a conclusão aponta para um cenário promissor, com oportunidades claras de otimização e crescimento</w:t>
      </w:r>
      <w:r w:rsidR="00244DF7">
        <w:rPr>
          <w:rFonts w:cstheme="minorHAnsi"/>
          <w:color w:val="0D0D0D"/>
          <w:shd w:val="clear" w:color="auto" w:fill="FFFFFF"/>
        </w:rPr>
        <w:t xml:space="preserve"> em relação as agências digitais.</w:t>
      </w:r>
    </w:p>
    <w:p w14:paraId="2C7BB03D" w14:textId="456192A2" w:rsidR="00D50CCE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Elas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demonstram </w:t>
      </w:r>
      <w:r>
        <w:rPr>
          <w:rFonts w:cstheme="minorHAnsi"/>
          <w:color w:val="0D0D0D"/>
          <w:shd w:val="clear" w:color="auto" w:fill="FFFFFF"/>
        </w:rPr>
        <w:t xml:space="preserve">um </w:t>
      </w:r>
      <w:r w:rsidR="00941178" w:rsidRPr="00941178">
        <w:rPr>
          <w:rFonts w:cstheme="minorHAnsi"/>
          <w:color w:val="0D0D0D"/>
          <w:shd w:val="clear" w:color="auto" w:fill="FFFFFF"/>
        </w:rPr>
        <w:t>potencial significativo em termos de contas ativas</w:t>
      </w:r>
      <w:r w:rsidR="00744C92">
        <w:rPr>
          <w:rFonts w:cstheme="minorHAnsi"/>
          <w:color w:val="0D0D0D"/>
          <w:shd w:val="clear" w:color="auto" w:fill="FFFFFF"/>
        </w:rPr>
        <w:t>, número de colaboradores para operacional funciona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e rentabilidade, sugerindo uma reavaliação da distribuição de recursos entre canais digitais e físicos. </w:t>
      </w:r>
    </w:p>
    <w:p w14:paraId="1DC17D21" w14:textId="43ED7446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Inclusive, a eficácia </w:t>
      </w:r>
      <w:r w:rsidRPr="00941178">
        <w:rPr>
          <w:rFonts w:cstheme="minorHAnsi"/>
          <w:color w:val="0D0D0D"/>
          <w:shd w:val="clear" w:color="auto" w:fill="FFFFFF"/>
        </w:rPr>
        <w:t>das propostas de crédito digitais indica que investimentos adicionais em canais digitais podem aumentar a satisfação do cliente e a rentabilidade.</w:t>
      </w:r>
      <w:r>
        <w:rPr>
          <w:rFonts w:cstheme="minorHAnsi"/>
          <w:color w:val="0D0D0D"/>
          <w:shd w:val="clear" w:color="auto" w:fill="FFFFFF"/>
        </w:rPr>
        <w:t xml:space="preserve"> </w:t>
      </w:r>
    </w:p>
    <w:p w14:paraId="5FF7922D" w14:textId="77777777" w:rsidR="00744C92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Outro ponto a ser considerado é </w:t>
      </w:r>
      <w:r w:rsidR="00941178" w:rsidRPr="00941178">
        <w:rPr>
          <w:rFonts w:cstheme="minorHAnsi"/>
          <w:color w:val="0D0D0D"/>
          <w:shd w:val="clear" w:color="auto" w:fill="FFFFFF"/>
        </w:rPr>
        <w:t>diversidade etária dos clientes</w:t>
      </w:r>
      <w:r>
        <w:rPr>
          <w:rFonts w:cstheme="minorHAnsi"/>
          <w:color w:val="0D0D0D"/>
          <w:shd w:val="clear" w:color="auto" w:fill="FFFFFF"/>
        </w:rPr>
        <w:t xml:space="preserve">, pois ela 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destaca a </w:t>
      </w:r>
      <w:r w:rsidR="00744C92">
        <w:rPr>
          <w:rFonts w:cstheme="minorHAnsi"/>
          <w:color w:val="0D0D0D"/>
          <w:shd w:val="clear" w:color="auto" w:fill="FFFFFF"/>
        </w:rPr>
        <w:t>possibilidade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 estratégias de marketing personalizadas, especialmente para a população acima de 60 anos</w:t>
      </w:r>
      <w:r w:rsidR="00744C92">
        <w:rPr>
          <w:rFonts w:cstheme="minorHAnsi"/>
          <w:color w:val="0D0D0D"/>
          <w:shd w:val="clear" w:color="auto" w:fill="FFFFFF"/>
        </w:rPr>
        <w:t xml:space="preserve"> que detém boa parte das contas no banco.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</w:p>
    <w:p w14:paraId="6389F2D4" w14:textId="1A7FFBDA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 xml:space="preserve">Inclusive, é bom ressaltar a importância da obtenção de uma tabela sobre serviços e produtos disponibilizados pela empresa para que se possa compreender quais são os mais rentáveis e importantes para cultivo do banco. </w:t>
      </w:r>
    </w:p>
    <w:p w14:paraId="5C6030ED" w14:textId="68C035DA" w:rsidR="00762E3A" w:rsidRP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Por fim, caso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>
        <w:rPr>
          <w:rFonts w:cstheme="minorHAnsi"/>
          <w:color w:val="0D0D0D"/>
          <w:shd w:val="clear" w:color="auto" w:fill="FFFFFF"/>
        </w:rPr>
        <w:t>almeje 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 w:rsidRPr="00941178">
        <w:rPr>
          <w:rFonts w:cstheme="minorHAnsi"/>
          <w:color w:val="0D0D0D"/>
          <w:shd w:val="clear" w:color="auto" w:fill="FFFFFF"/>
        </w:rPr>
        <w:t>aprimora</w:t>
      </w:r>
      <w:r w:rsidR="00957A3E">
        <w:rPr>
          <w:rFonts w:cstheme="minorHAnsi"/>
          <w:color w:val="0D0D0D"/>
          <w:shd w:val="clear" w:color="auto" w:fill="FFFFFF"/>
        </w:rPr>
        <w:t xml:space="preserve">mento da compreensão das tabelas do negócio, ter em vista a </w:t>
      </w:r>
      <w:r w:rsidR="00941178" w:rsidRPr="00941178">
        <w:rPr>
          <w:rFonts w:cstheme="minorHAnsi"/>
          <w:color w:val="0D0D0D"/>
          <w:shd w:val="clear" w:color="auto" w:fill="FFFFFF"/>
        </w:rPr>
        <w:t>expansão do uso de análises de dados para refinar a oferta de produtos e serviços</w:t>
      </w:r>
      <w:r w:rsidR="00957A3E">
        <w:rPr>
          <w:rFonts w:cstheme="minorHAnsi"/>
          <w:color w:val="0D0D0D"/>
          <w:shd w:val="clear" w:color="auto" w:fill="FFFFFF"/>
        </w:rPr>
        <w:t xml:space="preserve"> garantirá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que o </w:t>
      </w:r>
      <w:proofErr w:type="spellStart"/>
      <w:r w:rsidR="00941178"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="00941178" w:rsidRPr="00941178">
        <w:rPr>
          <w:rFonts w:cstheme="minorHAnsi"/>
          <w:color w:val="0D0D0D"/>
          <w:shd w:val="clear" w:color="auto" w:fill="FFFFFF"/>
        </w:rPr>
        <w:t xml:space="preserve"> permaneça na vanguarda da inovação financeira.</w:t>
      </w:r>
    </w:p>
    <w:p w14:paraId="5F8F1028" w14:textId="24FA0339" w:rsidR="00762E3A" w:rsidRDefault="00762E3A"/>
    <w:p w14:paraId="4DA0322D" w14:textId="034475FE" w:rsidR="00762E3A" w:rsidRDefault="00762E3A"/>
    <w:sectPr w:rsidR="0076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44DF7"/>
    <w:rsid w:val="00260D3A"/>
    <w:rsid w:val="002E2239"/>
    <w:rsid w:val="0030749C"/>
    <w:rsid w:val="00340919"/>
    <w:rsid w:val="00383B64"/>
    <w:rsid w:val="003A38A7"/>
    <w:rsid w:val="003A3F69"/>
    <w:rsid w:val="003D6B31"/>
    <w:rsid w:val="003E1AC4"/>
    <w:rsid w:val="004027D1"/>
    <w:rsid w:val="004365E8"/>
    <w:rsid w:val="004A0E28"/>
    <w:rsid w:val="004C1250"/>
    <w:rsid w:val="004F4C0E"/>
    <w:rsid w:val="005A3F55"/>
    <w:rsid w:val="005B4961"/>
    <w:rsid w:val="00610A9E"/>
    <w:rsid w:val="0061272A"/>
    <w:rsid w:val="00636C95"/>
    <w:rsid w:val="00640999"/>
    <w:rsid w:val="006573AF"/>
    <w:rsid w:val="00663D67"/>
    <w:rsid w:val="006E7895"/>
    <w:rsid w:val="006F08CE"/>
    <w:rsid w:val="007339D0"/>
    <w:rsid w:val="00744C92"/>
    <w:rsid w:val="00760183"/>
    <w:rsid w:val="00762E3A"/>
    <w:rsid w:val="007740A9"/>
    <w:rsid w:val="00791FE1"/>
    <w:rsid w:val="00796C9F"/>
    <w:rsid w:val="007A4BDD"/>
    <w:rsid w:val="007F6620"/>
    <w:rsid w:val="008116BC"/>
    <w:rsid w:val="00853BDA"/>
    <w:rsid w:val="00854A90"/>
    <w:rsid w:val="008C0EFD"/>
    <w:rsid w:val="008D0E4B"/>
    <w:rsid w:val="008E226C"/>
    <w:rsid w:val="009165B4"/>
    <w:rsid w:val="009301AF"/>
    <w:rsid w:val="00935A86"/>
    <w:rsid w:val="00941178"/>
    <w:rsid w:val="00952556"/>
    <w:rsid w:val="00957A3E"/>
    <w:rsid w:val="009A09E1"/>
    <w:rsid w:val="009A55B1"/>
    <w:rsid w:val="009E0522"/>
    <w:rsid w:val="00A1015A"/>
    <w:rsid w:val="00A34DF1"/>
    <w:rsid w:val="00A42240"/>
    <w:rsid w:val="00AF5907"/>
    <w:rsid w:val="00B02371"/>
    <w:rsid w:val="00B0277E"/>
    <w:rsid w:val="00B443BC"/>
    <w:rsid w:val="00B76D1A"/>
    <w:rsid w:val="00B97A9E"/>
    <w:rsid w:val="00BA3B30"/>
    <w:rsid w:val="00C613CA"/>
    <w:rsid w:val="00CA5E8B"/>
    <w:rsid w:val="00CB027C"/>
    <w:rsid w:val="00CD3596"/>
    <w:rsid w:val="00CE4DCA"/>
    <w:rsid w:val="00D10C95"/>
    <w:rsid w:val="00D50CCE"/>
    <w:rsid w:val="00D91B2C"/>
    <w:rsid w:val="00D9511C"/>
    <w:rsid w:val="00E063BF"/>
    <w:rsid w:val="00E50F32"/>
    <w:rsid w:val="00F10B64"/>
    <w:rsid w:val="00F138FE"/>
    <w:rsid w:val="00F56B72"/>
    <w:rsid w:val="00F7732F"/>
    <w:rsid w:val="00FB50A5"/>
    <w:rsid w:val="00FE4EAD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65</cp:revision>
  <dcterms:created xsi:type="dcterms:W3CDTF">2024-02-03T20:03:00Z</dcterms:created>
  <dcterms:modified xsi:type="dcterms:W3CDTF">2024-02-08T18:07:00Z</dcterms:modified>
</cp:coreProperties>
</file>