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sz w:val="22"/>
        </w:rPr>
        <w:t>The Expansion pod's mandate — building interactive tools that make complex products legible — is close to what I was doing at Azion. The Azion Console Kit started as a design system problem and became a full front-end rebuild of a cloud platform's management interface: interactive, component-driven, built to distill technical concepts into something a developer could navigate without a manual. In production at Itaú, Magazine Luiza, and Netshoes — which meant iterating continuously with those teams, validating against real enterprise workflows, and adjusting based on what actually worked for their users. Edge computing is also a genuinely new category — distributed computing beyond traditional cloud — which means part of the design work was always educational: helping users and enterprises understand what the technology was before they could evaluate whether to buy it. Converting someone who doesn't yet have the vocabulary for your product is a different problem, and a harder one.</w:t>
      </w:r>
    </w:p>
    <w:p>
      <w:pPr>
        <w:spacing w:after="240"/>
      </w:pPr>
      <w:r>
        <w:rPr>
          <w:sz w:val="22"/>
        </w:rPr>
        <w:t>Before Azion, at Huia — a creative technology studio — I built interactive campaign experiences and WebGL experiments for clients like Petrobras and O Boticário. The constraint was always the same: complex subject matter, browser as medium, craft as the only way through.</w:t>
      </w:r>
    </w:p>
    <w:p>
      <w:pPr>
        <w:spacing w:after="240"/>
      </w:pPr>
      <w:r>
        <w:rPr>
          <w:sz w:val="22"/>
        </w:rPr>
        <w:t>What attracts me to the Expansion pod specifically is that conversion and clarity are the same problem. A tool that doesn't immediately communicate its value doesn't convert. I've been working at that intersection for over a decade, and it's where I do my best work.</w:t>
      </w:r>
    </w:p>
    <w:p>
      <w:pPr>
        <w:spacing w:after="240"/>
      </w:pPr>
      <w:r>
        <w:rPr>
          <w:sz w:val="22"/>
        </w:rPr>
        <w:t>Portfolio with live code: caioogata.com</w:t>
      </w:r>
    </w:p>
    <w:p>
      <w:pPr>
        <w:spacing w:after="240"/>
      </w:pPr>
      <w:r>
        <w:rPr>
          <w:sz w:val="22"/>
        </w:rPr>
        <w:t>Caio Ogata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