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sz w:val="22"/>
        </w:rPr>
        <w:t>A design system for a Marketing Operating System launching in 2026 is a foundational moment — tokens, components, and interaction patterns written now will shape how thousands of marketers interpret data and act on it for years. That's the part of the work I want to be responsible for: the layer underneath, where decisions compound.</w:t>
      </w:r>
    </w:p>
    <w:p>
      <w:pPr>
        <w:spacing w:after="240"/>
      </w:pPr>
      <w:r>
        <w:rPr>
          <w:b w:val="0"/>
          <w:sz w:val="22"/>
        </w:rPr>
        <w:t>At Azion Technologies, I built azion.design from scratch — the design system for a developer-facing edge platform. Primitive and semantic tokens, component library, contribution model, documentation. Then I owned the engineering layer that consumed it: Console, CLI, public website, developer tools — all in React and TypeScript, WCAG-compliant, production scale. I know what it takes to make a system that teams actually adopt, not one that sits in Figma while engineers reinvent it in code.</w:t>
      </w:r>
    </w:p>
    <w:p>
      <w:pPr>
        <w:spacing w:after="240"/>
      </w:pPr>
      <w:r>
        <w:rPr>
          <w:b w:val="0"/>
          <w:sz w:val="22"/>
        </w:rPr>
        <w:t>The part of this role that pulls me most is defining interaction patterns for AI and agentic features. I work daily in Cursor and Claude Code — not as an experiment, but as my primary build environment. My current portfolio is a design system I'm shipping in parallel with the tooling that generates it: Tailwind v4 @theme tokens, Fabio XM display type, scroll-linked clip-path reveals, a WebGL noise gradient lazy-loaded behind the project hero. Every interaction decision is in the repo. That's the closest thing I can offer to a live proof of how I'd approach Zeta's system.</w:t>
      </w:r>
    </w:p>
    <w:p>
      <w:pPr>
        <w:spacing w:after="240"/>
      </w:pPr>
      <w:r>
        <w:rPr>
          <w:b w:val="0"/>
          <w:sz w:val="22"/>
        </w:rPr>
        <w:t>Agentic interfaces are the hard problem inside this role. An agent acting on a marketer's behalf needs the system to communicate intent, confidence, reversibility, and trust — all through the same tokens and components that serve deterministic UI. That's a design systems problem first, not an AI problem. It's the kind of constraint I work best under.</w:t>
      </w:r>
    </w:p>
    <w:p>
      <w:pPr>
        <w:spacing w:after="240"/>
      </w:pPr>
      <w:r>
        <w:rPr>
          <w:b w:val="0"/>
          <w:sz w:val="22"/>
        </w:rPr>
        <w:t>Portfolio with live code: caioogata.com</w:t>
      </w:r>
    </w:p>
    <w:p>
      <w:pPr>
        <w:spacing w:after="240"/>
      </w:pPr>
      <w:r>
        <w:rPr>
          <w:b w:val="0"/>
          <w:sz w:val="22"/>
        </w:rP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