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/>
    </w:p>
    <w:p>
      <w:pPr>
        <w:pStyle w:val="Standard"/>
        <w:jc w:val="center"/>
        <w:rPr>
          <w:b/>
          <w:b/>
          <w:sz w:val="20"/>
          <w:szCs w:val="20"/>
        </w:rPr>
      </w:pPr>
      <w: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  <w:r/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Western"/>
        <w:spacing w:before="0" w:after="0"/>
        <w:ind w:start="0" w:end="68" w:firstLine="23"/>
        <w:rPr/>
      </w:pPr>
      <w:r>
        <w:t>Parte Requisitória nº 00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/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t>Lorena-SP, 25 de abril de 2023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t>Do: Encarregado do Setor de Aprovisionamento</w:t>
      </w:r>
    </w:p>
    <w:p>
      <w:pPr>
        <w:pStyle w:val="Western"/>
        <w:spacing w:lineRule="atLeast" w:line="340" w:before="0" w:after="0"/>
        <w:rPr/>
      </w:pPr>
      <w:r>
        <w:t>Ao: Sr. Fiscal Administrativo</w:t>
      </w:r>
    </w:p>
    <w:p>
      <w:pPr>
        <w:pStyle w:val="Western"/>
        <w:spacing w:lineRule="atLeast" w:line="340" w:before="0" w:after="0"/>
        <w:rPr/>
      </w:pPr>
      <w:r>
        <w:t>Assunto: aquisição.</w:t>
      </w:r>
    </w:p>
    <w:p>
      <w:pPr>
        <w:pStyle w:val="Western"/>
        <w:spacing w:lineRule="atLeast" w:line="340" w:before="0" w:after="0"/>
        <w:rPr/>
      </w:pPr>
      <w:r>
        <w:t>Ref: Art 13 da IG 12-02</w:t>
      </w:r>
    </w:p>
    <w:p>
      <w:pPr>
        <w:pStyle w:val="Western"/>
        <w:spacing w:lineRule="atLeast" w:line="340" w:before="0" w:after="0"/>
        <w:jc w:val="both"/>
        <w:rPr/>
      </w:pPr>
      <w:r>
        <w:t>Anexo: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/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IVAN ALVES –  Asp</w:t>
      </w:r>
    </w:p>
    <w:p>
      <w:pPr>
        <w:pStyle w:val="Standard"/>
        <w:ind w:start="0" w:end="-54" w:hanging="0"/>
        <w:jc w:val="center"/>
        <w:rPr/>
      </w:pPr>
      <w:r>
        <w:t>Chefe do Setor de Aprovisionamento</w:t>
      </w:r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>
        <w:t xml:space="preserve">ND / SB: 33.90.30/07 - GÊNEROS DE ALIMENTAÇÃO </w:t>
      </w:r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/>
      </w:pPr>
      <w:r>
        <w:t>06.081.571/0001-84 - MANANCIAL COMERCIO DE CEREAIS LTDA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3"/>
        <w:gridCol w:w="1273"/>
        <w:gridCol w:w="3446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1"/>
        <w:gridCol w:w="1198"/>
        <w:gridCol w:w="1986"/>
        <w:gridCol w:w="992"/>
        <w:gridCol w:w="1538"/>
        <w:gridCol w:w="23"/>
        <w:gridCol w:w="1840"/>
      </w:tblGrid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Unidade orçamentária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ND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FONTE DE RECURSOS</w:t>
            </w:r>
          </w:p>
        </w:tc>
        <w:tc>
          <w:tcPr>
            <w:tcW w:w="1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NC</w:t>
            </w:r>
          </w:p>
        </w:tc>
      </w:tr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160504/00001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193894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E6SUPJA1QR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339030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0100000000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2023NC403131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/>
    </w:p>
    <w:p>
      <w:pPr>
        <w:pStyle w:val="WWPadro"/>
        <w:jc w:val="both"/>
        <w:rPr>
          <w:color w:val="000000"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JACKSON VARGAS DE AMORIM –  Cap</w:t>
      </w:r>
    </w:p>
    <w:p>
      <w:pPr>
        <w:pStyle w:val="Standard"/>
        <w:ind w:start="0" w:end="-54" w:hanging="0"/>
        <w:jc w:val="center"/>
        <w:rPr/>
      </w:pPr>
      <w:r>
        <w:t>Chefe da Divisão Administrativa</w:t>
      </w:r>
    </w:p>
    <w:p>
      <w:pPr>
        <w:pStyle w:val="WWPadro"/>
        <w:rPr>
          <w:sz w:val="22"/>
          <w:szCs w:val="22"/>
        </w:rPr>
      </w:pPr>
      <w:r/>
    </w:p>
    <w:p>
      <w:pPr>
        <w:pStyle w:val="WWPadro"/>
        <w:jc w:val="both"/>
        <w:rPr>
          <w:b/>
          <w:b/>
          <w:sz w:val="22"/>
          <w:szCs w:val="22"/>
        </w:rPr>
      </w:pPr>
      <w: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t>3. Para fins do Ar. 38 da Lei 8666/93, de 21 de junho de 1993, empregar os recursos da Natureza de Despesa 33.90.30/07 - GÊNEROS DE ALIMENTAÇÃO.</w:t>
      </w:r>
    </w:p>
    <w:p>
      <w:pPr>
        <w:pStyle w:val="Standard"/>
        <w:spacing w:lineRule="auto" w:line="360"/>
        <w:jc w:val="both"/>
        <w:rPr>
          <w:bCs/>
        </w:rPr>
      </w:pPr>
      <w:r>
        <w:t>4. Publique-se.</w:t>
      </w:r>
    </w:p>
    <w:p>
      <w:pPr>
        <w:pStyle w:val="WWPadro"/>
        <w:jc w:val="both"/>
        <w:rPr>
          <w:bCs/>
          <w:szCs w:val="24"/>
        </w:rPr>
      </w:pPr>
      <w:r/>
    </w:p>
    <w:p>
      <w:pPr>
        <w:pStyle w:val="WWPadro"/>
        <w:jc w:val="both"/>
        <w:rPr>
          <w:bCs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MURILO JOSÉ VIEIRA BARRETO –  Ten Cel</w:t>
      </w:r>
    </w:p>
    <w:p>
      <w:pPr>
        <w:pStyle w:val="Standard"/>
        <w:ind w:start="0" w:end="-54" w:hanging="0"/>
        <w:jc w:val="center"/>
        <w:rPr/>
      </w:pPr>
      <w:r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/>
    </w:p>
    <w:p>
      <w:pPr>
        <w:pStyle w:val="NormalWeb"/>
        <w:jc w:val="start"/>
        <w:rPr>
          <w:sz w:val="10"/>
          <w:szCs w:val="10"/>
          <w:lang w:val="en-US"/>
        </w:rPr>
      </w:pPr>
      <w:r/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Strong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218</Words>
  <Characters>1342</Characters>
  <CharactersWithSpaces>1546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2023-04-20T08:59:33Z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