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63a993d7e401558d0a11e2c90a66eb6ce3adc7"/>
    <w:p>
      <w:pPr>
        <w:pStyle w:val="Heading1"/>
        <w:jc w:val="center"/>
      </w:pPr>
      <w:r>
        <w:rPr>
          <w:b/>
          <w:sz w:val="28"/>
        </w:rPr>
        <w:t xml:space="preserve">Narrative attractors: why stories converge when language-model agents share a role-playing world</w:t>
      </w:r>
    </w:p>
    <w:p>
      <w:pPr>
        <w:pStyle w:val="FirstParagraph"/>
        <w:spacing w:line="360" w:lineRule="auto" w:after="120"/>
        <w:jc w:val="both"/>
      </w:pPr>
      <w:r>
        <w:rPr>
          <w:b/>
          <w:bCs/>
        </w:rPr>
        <w:t xml:space="preserve">Theme.</w:t>
      </w:r>
      <w:r>
        <w:t xml:space="preserve"> </w:t>
      </w:r>
      <w:r>
        <w:t xml:space="preserve">The convergence of stories generated by artificial intelligence in shared-world role-playing games (RPGs), and its implications for critical AI literacy.</w:t>
      </w:r>
    </w:p>
    <w:p>
      <w:pPr>
        <w:pStyle w:val="BodyText"/>
        <w:spacing w:line="360" w:lineRule="auto" w:after="120"/>
        <w:jc w:val="both"/>
      </w:pPr>
      <w:r>
        <w:rPr>
          <w:b/>
          <w:bCs/>
        </w:rPr>
        <w:t xml:space="preserve">Problem.</w:t>
      </w:r>
      <w:r>
        <w:t xml:space="preserve"> </w:t>
      </w:r>
      <w:r>
        <w:t xml:space="preserve">When several language-model agents act freely in the same fictional world, with no narrative structure imposed on them, does the story branch into many storylines that open and close, or collapse into a single story? And if it converges, what determines the path of that convergence?</w:t>
      </w:r>
    </w:p>
    <w:p>
      <w:pPr>
        <w:pStyle w:val="BodyText"/>
        <w:spacing w:line="360" w:lineRule="auto" w:after="120"/>
        <w:jc w:val="both"/>
      </w:pPr>
      <w:r>
        <w:rPr>
          <w:b/>
          <w:bCs/>
        </w:rPr>
        <w:t xml:space="preserve">Rationale.</w:t>
      </w:r>
      <w:r>
        <w:t xml:space="preserve"> </w:t>
      </w:r>
      <w:r>
        <w:t xml:space="preserve">Generative AI is already entering classrooms as a co-author of stories and as a game master. Studies show that it homogenises texts and plots, but they look at single texts, not at stories that emerge day by day from the actions of several agents. Understanding these dynamics is a precondition for using AI-driven role-play critically in education.</w:t>
      </w:r>
    </w:p>
    <w:p>
      <w:pPr>
        <w:pStyle w:val="BodyText"/>
        <w:spacing w:line="360" w:lineRule="auto" w:after="120"/>
        <w:jc w:val="both"/>
      </w:pPr>
      <w:r>
        <w:rPr>
          <w:b/>
          <w:bCs/>
        </w:rPr>
        <w:t xml:space="preserve">Objectives.</w:t>
      </w:r>
      <w:r>
        <w:t xml:space="preserve"> </w:t>
      </w:r>
      <w:r>
        <w:rPr>
          <w:i/>
          <w:iCs/>
        </w:rPr>
        <w:t xml:space="preserve">General:</w:t>
      </w:r>
      <w:r>
        <w:t xml:space="preserve"> </w:t>
      </w:r>
      <w:r>
        <w:t xml:space="preserve">to measure whether and how the stories of a shared world converge when it is played by language-model agents.</w:t>
      </w:r>
      <w:r>
        <w:t xml:space="preserve"> </w:t>
      </w:r>
      <w:r>
        <w:rPr>
          <w:i/>
          <w:iCs/>
        </w:rPr>
        <w:t xml:space="preserve">Specific:</w:t>
      </w:r>
      <w:r>
        <w:t xml:space="preserve"> </w:t>
      </w:r>
      <w:r>
        <w:t xml:space="preserve">(a) to separate the two ways a storyline can disappear, closure and fusion with another storyline; (b) to estimate how much of the convergence is due to the density of causal links; (c) to identify the attractor events that join storylines and what they have in common; (d) to discuss implications for AI and media literacy.</w:t>
      </w:r>
    </w:p>
    <w:p>
      <w:pPr>
        <w:pStyle w:val="BodyText"/>
        <w:spacing w:line="360" w:lineRule="auto" w:after="120"/>
        <w:jc w:val="both"/>
      </w:pPr>
      <w:r>
        <w:rPr>
          <w:b/>
          <w:bCs/>
        </w:rPr>
        <w:t xml:space="preserve">Methodology.</w:t>
      </w:r>
      <w:r>
        <w:t xml:space="preserve"> </w:t>
      </w:r>
      <w:r>
        <w:t xml:space="preserve">A simulator records every action of the agents as an event, together with the causes the agent itself declares, forming a causal graph. Storylines are the connected components of this graph, and the lineage of each one (birth, fusion, closure) is tracked day by day, with a pre-registered metric and definition of convergence. We analysed 44 sessions (3,744 events, four versioned models, two worlds, 12 or 20 days). The declared causes were validated by a blind judge and by a counterfactual necessity test. Attractors were tested against a null model that rewires the links at random while keeping their number.</w:t>
      </w:r>
    </w:p>
    <w:p>
      <w:pPr>
        <w:pStyle w:val="BodyText"/>
        <w:spacing w:line="360" w:lineRule="auto" w:after="120"/>
        <w:jc w:val="both"/>
      </w:pPr>
      <w:r>
        <w:rPr>
          <w:b/>
          <w:bCs/>
        </w:rPr>
        <w:t xml:space="preserve">Expected results.</w:t>
      </w:r>
      <w:r>
        <w:t xml:space="preserve"> </w:t>
      </w:r>
      <w:r>
        <w:t xml:space="preserve">In the validation sessions, storylines disappear by fusion and almost never by closure: 64% are absorbed and fewer than 5% reach a stable ending. Almost all of them are born on the second day, and most sessions have a single story by around day five. Convergence is driven mainly by density, since 99.7% of the events cite some cause. Its path is shaped by attractors: the first fusions join characters whose premises already referred to each other (75% against 61% under the null model), in the places those premises name. The confirmatory campaign, with more repetitions and other models, is expected to reproduce this pattern.</w:t>
      </w:r>
    </w:p>
    <w:p>
      <w:pPr>
        <w:pStyle w:val="BodyText"/>
        <w:spacing w:line="360" w:lineRule="auto" w:after="120"/>
        <w:jc w:val="both"/>
      </w:pPr>
      <w:r>
        <w:rPr>
          <w:b/>
          <w:bCs/>
        </w:rPr>
        <w:t xml:space="preserve">Final considerations.</w:t>
      </w:r>
      <w:r>
        <w:t xml:space="preserve"> </w:t>
      </w:r>
      <w:r>
        <w:t xml:space="preserve">The</w:t>
      </w:r>
      <w:r>
        <w:t xml:space="preserve"> </w:t>
      </w:r>
      <w:r>
        <w:t xml:space="preserve">“</w:t>
      </w:r>
      <w:r>
        <w:t xml:space="preserve">free</w:t>
      </w:r>
      <w:r>
        <w:t xml:space="preserve">”</w:t>
      </w:r>
      <w:r>
        <w:t xml:space="preserve"> </w:t>
      </w:r>
      <w:r>
        <w:t xml:space="preserve">world is less open than it seems. The forces that shape the story lie in premises written by people, and they can be made visible and taught. Limitations include a single family of models, premises coded by a single person and, so far, no human participants.</w:t>
      </w:r>
    </w:p>
    <w:p>
      <w:pPr>
        <w:pStyle w:val="BodyText"/>
        <w:spacing w:before="240"/>
      </w:pPr>
      <w:r>
        <w:rPr>
          <w:b/>
          <w:bCs/>
        </w:rPr>
        <w:t xml:space="preserve">References</w:t>
      </w:r>
    </w:p>
    <w:p>
      <w:pPr>
        <w:pStyle w:val="BodyText"/>
        <w:spacing w:line="240" w:lineRule="auto" w:after="120"/>
        <w:jc w:val="left"/>
      </w:pPr>
      <w:r>
        <w:t xml:space="preserve">Doshi, A. R., &amp; Hauser, O. P. (2024). Generative AI enhances individual creativity but reduces the collective diversity of novel content.</w:t>
      </w:r>
      <w:r>
        <w:t xml:space="preserve"> </w:t>
      </w:r>
      <w:r>
        <w:rPr>
          <w:i/>
          <w:iCs/>
        </w:rPr>
        <w:t xml:space="preserve">Science Advances, 10</w:t>
      </w:r>
      <w:r>
        <w:t xml:space="preserve">(28), eadn5290. https://doi.org/10.1126/sciadv.adn5290</w:t>
      </w:r>
    </w:p>
    <w:p>
      <w:pPr>
        <w:pStyle w:val="BodyText"/>
        <w:spacing w:line="240" w:lineRule="auto" w:after="120"/>
        <w:jc w:val="left"/>
      </w:pPr>
      <w:r>
        <w:t xml:space="preserve">Long, D., &amp; Magerko, B. (2020). What is AI literacy? Competencies and design considerations. In</w:t>
      </w:r>
      <w:r>
        <w:t xml:space="preserve"> </w:t>
      </w:r>
      <w:r>
        <w:rPr>
          <w:i/>
          <w:iCs/>
        </w:rPr>
        <w:t xml:space="preserve">Proceedings of the 2020 CHI Conference on Human Factors in Computing Systems</w:t>
      </w:r>
      <w:r>
        <w:t xml:space="preserve">. ACM. https://doi.org/10.1145/3313831.3376727</w:t>
      </w:r>
    </w:p>
    <w:p>
      <w:pPr>
        <w:pStyle w:val="BodyText"/>
        <w:spacing w:line="240" w:lineRule="auto" w:after="120"/>
        <w:jc w:val="left"/>
      </w:pPr>
      <w:r>
        <w:t xml:space="preserve">Park, J. S., O’Brien, J., Cai, C. J., Morris, M. R., Liang, P., &amp; Bernstein, M. S. (2023). Generative agents: Interactive simulacra of human behavior. In</w:t>
      </w:r>
      <w:r>
        <w:t xml:space="preserve"> </w:t>
      </w:r>
      <w:r>
        <w:rPr>
          <w:i/>
          <w:iCs/>
        </w:rPr>
        <w:t xml:space="preserve">Proceedings of the 36th Annual ACM Symposium on User Interface Software and Technology</w:t>
      </w:r>
      <w:r>
        <w:t xml:space="preserve"> </w:t>
      </w:r>
      <w:r>
        <w:t xml:space="preserve">(pp. 1–22). ACM. https://doi.org/10.1145/3586183.3606763</w:t>
      </w:r>
    </w:p>
    <w:p>
      <w:pPr>
        <w:pStyle w:val="BodyText"/>
        <w:spacing w:line="240" w:lineRule="auto" w:after="120"/>
        <w:jc w:val="left"/>
      </w:pPr>
      <w:r>
        <w:t xml:space="preserve">Strogatz, S. H. (2015).</w:t>
      </w:r>
      <w:r>
        <w:t xml:space="preserve"> </w:t>
      </w:r>
      <w:r>
        <w:rPr>
          <w:i/>
          <w:iCs/>
        </w:rPr>
        <w:t xml:space="preserve">Nonlinear dynamics and chaos</w:t>
      </w:r>
      <w:r>
        <w:t xml:space="preserve"> </w:t>
      </w:r>
      <w:r>
        <w:t xml:space="preserve">(2nd ed.). Westview Press.</w:t>
      </w:r>
    </w:p>
    <w:p>
      <w:pPr>
        <w:pStyle w:val="BodyText"/>
        <w:spacing w:line="240" w:lineRule="auto" w:after="120"/>
        <w:jc w:val="left"/>
      </w:pPr>
      <w:r>
        <w:t xml:space="preserve">Trabasso, T., &amp; van den Broek, P. (1985). Causal thinking and the representation of narrative events.</w:t>
      </w:r>
      <w:r>
        <w:t xml:space="preserve"> </w:t>
      </w:r>
      <w:r>
        <w:rPr>
          <w:i/>
          <w:iCs/>
        </w:rPr>
        <w:t xml:space="preserve">Journal of Memory and Language, 24</w:t>
      </w:r>
      <w:r>
        <w:t xml:space="preserve">(5), 612–630. https://doi.org/10.1016/0749-596x(85)90049-x</w:t>
      </w:r>
    </w:p>
    <w:p>
      <w:pPr>
        <w:pStyle w:val="BodyText"/>
        <w:spacing w:line="240" w:lineRule="auto" w:after="120"/>
        <w:jc w:val="left"/>
      </w:pPr>
      <w:r>
        <w:t xml:space="preserve">Xu, W., Jojic, N., Rao, S., Brockett, C., &amp; Dolan, B. (2025). Echoes in AI: Quantifying lack of plot diversity in LLM outputs.</w:t>
      </w:r>
      <w:r>
        <w:t xml:space="preserve"> </w:t>
      </w:r>
      <w:r>
        <w:rPr>
          <w:i/>
          <w:iCs/>
        </w:rPr>
        <w:t xml:space="preserve">Proceedings of the National Academy of Sciences, 122</w:t>
      </w:r>
      <w:r>
        <w:t xml:space="preserve">(35), e2504966122. https://doi.org/10.1073/pnas.2504966122</w:t>
      </w:r>
    </w:p>
    <w:bookmarkEnd w:id="20"/>
    <w:sectPr>
      <w:pgMar w:top="1417" w:bottom="1417" w:left="1417" w:right="1417"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rPr>
      <w:rFonts w:ascii="Times New Roman" w:hAnsi="Times New Roman"/>
      <w:sz w:val="24"/>
    </w:rPr>
  </w:style>
  <w:style w:customStyle="1" w:styleId="FirstParagraph" w:type="paragraph">
    <w:name w:val="First Paragraph"/>
    <w:basedOn w:val="BodyText"/>
    <w:next w:val="BodyText"/>
    <w:qFormat/>
    <w:rPr>
      <w:rFonts w:ascii="Times New Roman" w:hAnsi="Times New Roman"/>
      <w:sz w:val="24"/>
    </w:rPr>
  </w:style>
  <w:style w:customStyle="1" w:styleId="Compact" w:type="paragraph">
    <w:name w:val="Compact"/>
    <w:basedOn w:val="BodyText"/>
    <w:qFormat/>
    <w:pPr>
      <w:spacing w:after="36" w:before="36"/>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sz w:val="24"/>
      <w:szCs w:val="36"/>
    </w:rPr>
  </w:style>
  <w:style w:styleId="Subtitle" w:type="paragraph">
    <w:name w:val="Subtitle"/>
    <w:basedOn w:val="Title"/>
    <w:next w:val="BodyText"/>
    <w:qFormat/>
    <w:pPr>
      <w:keepNext/>
      <w:keepLines/>
      <w:spacing w:after="240" w:before="240"/>
      <w:jc w:val="center"/>
    </w:pPr>
    <w:rPr>
      <w:rFonts w:ascii="Times New Roman" w:hAnsi="Times New Roman"/>
      <w:sz w:val="24"/>
      <w:szCs w:val="30"/>
    </w:rPr>
  </w:style>
  <w:style w:customStyle="1" w:styleId="Author" w:type="paragraph">
    <w:name w:val="Author"/>
    <w:next w:val="BodyText"/>
    <w:qFormat/>
    <w:pPr>
      <w:keepNext/>
      <w:keepLines/>
      <w:jc w:val="center"/>
    </w:pPr>
    <w:rPr>
      <w:rFonts w:ascii="Times New Roman" w:hAnsi="Times New Roman"/>
      <w:sz w:val="24"/>
    </w:rPr>
  </w:style>
  <w:style w:styleId="Date" w:type="paragraph">
    <w:name w:val="Date"/>
    <w:next w:val="BodyText"/>
    <w:qFormat/>
    <w:pPr>
      <w:keepNext/>
      <w:keepLines/>
      <w:jc w:val="center"/>
    </w:pPr>
    <w:rPr>
      <w:rFonts w:ascii="Times New Roman" w:hAnsi="Times New Roman"/>
      <w:sz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sz w:val="24"/>
      <w:szCs w:val="20"/>
    </w:rPr>
  </w:style>
  <w:style w:customStyle="1" w:styleId="Abstract" w:type="paragraph">
    <w:name w:val="Abstract"/>
    <w:basedOn w:val="Normal"/>
    <w:next w:val="BodyText"/>
    <w:qFormat/>
    <w:pPr>
      <w:keepNext/>
      <w:keepLines/>
      <w:spacing w:after="300" w:before="100"/>
    </w:pPr>
    <w:rPr>
      <w:rFonts w:ascii="Times New Roman" w:hAnsi="Times New Roman"/>
      <w:sz w:val="24"/>
      <w:szCs w:val="20"/>
    </w:rPr>
  </w:style>
  <w:style w:styleId="Bibliography" w:type="paragraph">
    <w:name w:val="Bibliography"/>
    <w:basedOn w:val="Normal"/>
    <w:next w:val="Bibliography"/>
    <w:qFormat/>
    <w:pPr/>
    <w:rPr>
      <w:rFonts w:ascii="Times New Roman" w:hAnsi="Times New Roman"/>
      <w:sz w:val="24"/>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sz w:val="24"/>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bCs/>
      <w:i/>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sz w:val="24"/>
    </w:rPr>
  </w:style>
  <w:style w:styleId="FootnoteText" w:type="paragraph">
    <w:name w:val="Footnote Text"/>
    <w:basedOn w:val="Normal"/>
    <w:next w:val="FootnoteText"/>
    <w:uiPriority w:val="9"/>
    <w:unhideWhenUsed/>
    <w:qFormat/>
    <w:rPr>
      <w:rFonts w:ascii="Times New Roman" w:hAnsi="Times New Roman"/>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sz w:val="24"/>
    </w:rPr>
  </w:style>
  <w:style w:customStyle="1" w:styleId="Definition" w:type="paragraph">
    <w:name w:val="Definition"/>
    <w:basedOn w:val="Normal"/>
    <w:rPr>
      <w:rFonts w:ascii="Times New Roman" w:hAnsi="Times New Roman"/>
      <w:sz w:val="24"/>
    </w:rPr>
  </w:style>
  <w:style w:styleId="Caption" w:type="paragraph">
    <w:name w:val="Caption"/>
    <w:basedOn w:val="Normal"/>
    <w:link w:val="BodyTextChar"/>
    <w:pPr>
      <w:spacing w:after="120" w:before="0"/>
    </w:pPr>
    <w:rPr>
      <w:rFonts w:ascii="Times New Roman" w:hAnsi="Times New Roman"/>
      <w:i/>
      <w:sz w:val="24"/>
    </w:rPr>
  </w:style>
  <w:style w:customStyle="1" w:styleId="TableCaption" w:type="paragraph">
    <w:name w:val="Table Caption"/>
    <w:basedOn w:val="Caption"/>
    <w:pPr>
      <w:keepNext/>
    </w:pPr>
    <w:rPr>
      <w:rFonts w:ascii="Times New Roman" w:hAnsi="Times New Roman"/>
      <w:sz w:val="24"/>
    </w:rPr>
  </w:style>
  <w:style w:customStyle="1" w:styleId="ImageCaption" w:type="paragraph">
    <w:name w:val="Image Caption"/>
    <w:basedOn w:val="Caption"/>
    <w:rPr>
      <w:rFonts w:ascii="Times New Roman" w:hAnsi="Times New Roman"/>
      <w:sz w:val="24"/>
    </w:rPr>
  </w:style>
  <w:style w:customStyle="1" w:styleId="Figure" w:type="paragraph">
    <w:name w:val="Figure"/>
    <w:basedOn w:val="Normal"/>
    <w:rPr>
      <w:rFonts w:ascii="Times New Roman" w:hAnsi="Times New Roman"/>
      <w:sz w:val="24"/>
    </w:rPr>
  </w:style>
  <w:style w:customStyle="1" w:styleId="CaptionedFigure" w:type="paragraph">
    <w:name w:val="Captioned Figure"/>
    <w:basedOn w:val="Figure"/>
    <w:pPr>
      <w:keepNext/>
    </w:pPr>
    <w:rPr>
      <w:rFonts w:ascii="Times New Roman" w:hAnsi="Times New Roman"/>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sz w:val="24"/>
    </w:rPr>
  </w:style>
  <w:style w:type="paragraph" w:customStyle="1" w:styleId="SourceCode">
    <w:name w:val="Source Code"/>
    <w:basedOn w:val="Normal"/>
    <w:link w:val="VerbatimChar"/>
    <w:pPr>
      <w:wordWrap w:val="off"/>
    </w:pPr>
    <w:rPr>
      <w:rFonts w:ascii="Times New Roman" w:hAnsi="Times New Roman"/>
      <w:sz w:val="2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2026-10-13T18:53:49Z</dcterms:created>
  <dcterms:modified xsi:type="dcterms:W3CDTF">2026-10-13T18:53:49Z</dcterms:modified>
  <cp:lastModifiedBy/>
</cp:coreProperties>
</file>

<file path=docProps/custom.xml><?xml version="1.0" encoding="utf-8"?>
<Properties xmlns="http://schemas.openxmlformats.org/officeDocument/2006/custom-properties" xmlns:vt="http://schemas.openxmlformats.org/officeDocument/2006/docPropsVTypes"/>
</file>