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5bce9ca7e445c6f3535ea3c10273888459f0424"/>
    <w:p>
      <w:pPr>
        <w:pStyle w:val="Heading1"/>
        <w:jc w:val="center"/>
      </w:pPr>
      <w:r>
        <w:rPr>
          <w:b/>
          <w:sz w:val="28"/>
        </w:rPr>
        <w:t xml:space="preserve">From board to graph: a hybrid human-AI role-playing board for critical media and AI literacy</w:t>
      </w:r>
    </w:p>
    <w:p>
      <w:pPr>
        <w:pStyle w:val="FirstParagraph"/>
        <w:spacing w:line="360" w:lineRule="auto" w:after="120"/>
        <w:jc w:val="both"/>
      </w:pPr>
      <w:r>
        <w:rPr>
          <w:b/>
          <w:bCs/>
        </w:rPr>
        <w:t xml:space="preserve">Theme.</w:t>
      </w:r>
      <w:r>
        <w:t xml:space="preserve"> </w:t>
      </w:r>
      <w:r>
        <w:t xml:space="preserve">How a community comes to share a single version of events, and how a board game can make this process visible to students, with or without artificial-intelligence characters.</w:t>
      </w:r>
    </w:p>
    <w:p>
      <w:pPr>
        <w:pStyle w:val="BodyText"/>
        <w:spacing w:line="360" w:lineRule="auto" w:after="120"/>
        <w:jc w:val="both"/>
      </w:pPr>
      <w:r>
        <w:rPr>
          <w:b/>
          <w:bCs/>
        </w:rPr>
        <w:t xml:space="preserve">Problem.</w:t>
      </w:r>
      <w:r>
        <w:t xml:space="preserve"> </w:t>
      </w:r>
      <w:r>
        <w:t xml:space="preserve">Who is where, who knows what and who controls the central places decide which accounts survive. This process is usually invisible to those who take part in it. In earlier simulations, AI characters that could see everything linked every event and merged the stories into one within a few days. How can these dynamics become something a class can experience, inspect and change?</w:t>
      </w:r>
    </w:p>
    <w:p>
      <w:pPr>
        <w:pStyle w:val="BodyText"/>
        <w:spacing w:line="360" w:lineRule="auto" w:after="120"/>
        <w:jc w:val="both"/>
      </w:pPr>
      <w:r>
        <w:rPr>
          <w:b/>
          <w:bCs/>
        </w:rPr>
        <w:t xml:space="preserve">Rationale.</w:t>
      </w:r>
      <w:r>
        <w:t xml:space="preserve"> </w:t>
      </w:r>
      <w:r>
        <w:t xml:space="preserve">Media literacy education and the response to information disorder require understanding network processes, not only isolated false content. Games have proved effective for this, and role-playing adds the co-creation of the story by the group itself. The arrival of generative AI makes it urgent to show how these systems connect everything they are given.</w:t>
      </w:r>
    </w:p>
    <w:p>
      <w:pPr>
        <w:pStyle w:val="BodyText"/>
        <w:spacing w:line="360" w:lineRule="auto" w:after="120"/>
        <w:jc w:val="both"/>
      </w:pPr>
      <w:r>
        <w:rPr>
          <w:b/>
          <w:bCs/>
        </w:rPr>
        <w:t xml:space="preserve">Objectives.</w:t>
      </w:r>
      <w:r>
        <w:t xml:space="preserve"> </w:t>
      </w:r>
      <w:r>
        <w:rPr>
          <w:i/>
          <w:iCs/>
        </w:rPr>
        <w:t xml:space="preserve">General:</w:t>
      </w:r>
      <w:r>
        <w:t xml:space="preserve"> </w:t>
      </w:r>
      <w:r>
        <w:t xml:space="preserve">to propose and ground a board-based world model for hybrid human-AI role-play aimed at critical media and AI literacy.</w:t>
      </w:r>
      <w:r>
        <w:t xml:space="preserve"> </w:t>
      </w:r>
      <w:r>
        <w:rPr>
          <w:i/>
          <w:iCs/>
        </w:rPr>
        <w:t xml:space="preserve">Specific:</w:t>
      </w:r>
      <w:r>
        <w:t xml:space="preserve"> </w:t>
      </w:r>
      <w:r>
        <w:t xml:space="preserve">(a) to formalise the board as a matrix and link it to the graphs of encounters and causality; (b) to identify, by simulation, which mechanics change the convergence of stories; (c) to design the physical kit and the classroom protocol, including a low-tech version; (d) to propose an evaluation plan.</w:t>
      </w:r>
    </w:p>
    <w:p>
      <w:pPr>
        <w:pStyle w:val="BodyText"/>
        <w:spacing w:line="360" w:lineRule="auto" w:after="120"/>
        <w:jc w:val="both"/>
      </w:pPr>
      <w:r>
        <w:rPr>
          <w:b/>
          <w:bCs/>
        </w:rPr>
        <w:t xml:space="preserve">Methodology.</w:t>
      </w:r>
      <w:r>
        <w:t xml:space="preserve"> </w:t>
      </w:r>
      <w:r>
        <w:t xml:space="preserve">The board is a grid described by an adjacency matrix. Powers of this matrix define movement and perception, and products of encounter matrices define where information can travel. One rule links the three graphs: a character can only build on events it saw or heard about. A proof of concept with synthetic agents (500 runs per condition) compared the omniscient regime with variations in perception radius, rumours, attractor places, event cards and a focus rule. The kit uses event cards linked with yarn, so the story ends as a physical graph on the table.</w:t>
      </w:r>
    </w:p>
    <w:p>
      <w:pPr>
        <w:pStyle w:val="BodyText"/>
        <w:spacing w:line="360" w:lineRule="auto" w:after="120"/>
        <w:jc w:val="both"/>
      </w:pPr>
      <w:r>
        <w:rPr>
          <w:b/>
          <w:bCs/>
        </w:rPr>
        <w:t xml:space="preserve">Expected results.</w:t>
      </w:r>
      <w:r>
        <w:t xml:space="preserve"> </w:t>
      </w:r>
      <w:r>
        <w:t xml:space="preserve">The simulation indicates that limiting information only delays convergence to a single story. Central places define where accounts merge. Event cards combined with the focus rule keep about five stories alive. With students, we expect them to come to explain the formation of a dominant account by access and structure, not only by individual intentions. We also expect human tables to keep more stories separate than AI tables.</w:t>
      </w:r>
    </w:p>
    <w:p>
      <w:pPr>
        <w:pStyle w:val="BodyText"/>
        <w:spacing w:line="360" w:lineRule="auto" w:after="120"/>
        <w:jc w:val="both"/>
      </w:pPr>
      <w:r>
        <w:rPr>
          <w:b/>
          <w:bCs/>
        </w:rPr>
        <w:t xml:space="preserve">Final considerations.</w:t>
      </w:r>
      <w:r>
        <w:t xml:space="preserve"> </w:t>
      </w:r>
      <w:r>
        <w:t xml:space="preserve">This work is a design proposal with a proof of concept. The kit and the classroom protocol still need to be tested with students. The low-tech version extends access to schools without devices, and the hybrid version allows the behaviour of generative AI to be discussed in practice.</w:t>
      </w:r>
    </w:p>
    <w:p>
      <w:pPr>
        <w:pStyle w:val="BodyText"/>
        <w:spacing w:before="240"/>
      </w:pPr>
      <w:r>
        <w:rPr>
          <w:b/>
          <w:bCs/>
        </w:rPr>
        <w:t xml:space="preserve">References</w:t>
      </w:r>
    </w:p>
    <w:p>
      <w:pPr>
        <w:pStyle w:val="BodyText"/>
        <w:spacing w:line="240" w:lineRule="auto" w:after="120"/>
        <w:jc w:val="left"/>
      </w:pPr>
      <w:r>
        <w:t xml:space="preserve">Flanagan, M. (2009).</w:t>
      </w:r>
      <w:r>
        <w:t xml:space="preserve"> </w:t>
      </w:r>
      <w:r>
        <w:rPr>
          <w:i/>
          <w:iCs/>
        </w:rPr>
        <w:t xml:space="preserve">Critical play: Radical game design</w:t>
      </w:r>
      <w:r>
        <w:t xml:space="preserve">. MIT Press. https://doi.org/10.7551/mitpress/7678.001.0001</w:t>
      </w:r>
    </w:p>
    <w:p>
      <w:pPr>
        <w:pStyle w:val="BodyText"/>
        <w:spacing w:line="240" w:lineRule="auto" w:after="120"/>
        <w:jc w:val="left"/>
      </w:pPr>
      <w:r>
        <w:t xml:space="preserve">Hobbs, R. (2010).</w:t>
      </w:r>
      <w:r>
        <w:t xml:space="preserve"> </w:t>
      </w:r>
      <w:r>
        <w:rPr>
          <w:i/>
          <w:iCs/>
        </w:rPr>
        <w:t xml:space="preserve">Digital and media literacy: A plan of action</w:t>
      </w:r>
      <w:r>
        <w:t xml:space="preserve">. The Aspen Institute.</w:t>
      </w:r>
    </w:p>
    <w:p>
      <w:pPr>
        <w:pStyle w:val="BodyText"/>
        <w:spacing w:line="240" w:lineRule="auto" w:after="120"/>
        <w:jc w:val="left"/>
      </w:pPr>
      <w:r>
        <w:t xml:space="preserve">Holme, P., &amp; Saramäki, J. (2012). Temporal networks.</w:t>
      </w:r>
      <w:r>
        <w:t xml:space="preserve"> </w:t>
      </w:r>
      <w:r>
        <w:rPr>
          <w:i/>
          <w:iCs/>
        </w:rPr>
        <w:t xml:space="preserve">Physics Reports, 519</w:t>
      </w:r>
      <w:r>
        <w:t xml:space="preserve">(3), 97–125. https://doi.org/10.1016/j.physrep.2012.03.001</w:t>
      </w:r>
    </w:p>
    <w:p>
      <w:pPr>
        <w:pStyle w:val="BodyText"/>
        <w:spacing w:line="240" w:lineRule="auto" w:after="120"/>
        <w:jc w:val="left"/>
      </w:pPr>
      <w:r>
        <w:t xml:space="preserve">Jenkins, H. (2004). Game design as narrative architecture. In N. Wardrip-Fruin &amp; P. Harrigan (Eds.),</w:t>
      </w:r>
      <w:r>
        <w:t xml:space="preserve"> </w:t>
      </w:r>
      <w:r>
        <w:rPr>
          <w:i/>
          <w:iCs/>
        </w:rPr>
        <w:t xml:space="preserve">First person: New media as story, performance, and game</w:t>
      </w:r>
      <w:r>
        <w:t xml:space="preserve"> </w:t>
      </w:r>
      <w:r>
        <w:t xml:space="preserve">(pp. 118–130). MIT Press.</w:t>
      </w:r>
    </w:p>
    <w:p>
      <w:pPr>
        <w:pStyle w:val="BodyText"/>
        <w:spacing w:line="240" w:lineRule="auto" w:after="120"/>
        <w:jc w:val="left"/>
      </w:pPr>
      <w:r>
        <w:t xml:space="preserve">Roozenbeek, J., &amp; van der Linden, S. (2019). Fake news game confers psychological resistance against online misinformation.</w:t>
      </w:r>
      <w:r>
        <w:t xml:space="preserve"> </w:t>
      </w:r>
      <w:r>
        <w:rPr>
          <w:i/>
          <w:iCs/>
        </w:rPr>
        <w:t xml:space="preserve">Palgrave Communications, 5</w:t>
      </w:r>
      <w:r>
        <w:t xml:space="preserve">(1), 65. https://doi.org/10.1057/s41599-019-0279-9</w:t>
      </w:r>
    </w:p>
    <w:p>
      <w:pPr>
        <w:pStyle w:val="BodyText"/>
        <w:spacing w:line="240" w:lineRule="auto" w:after="120"/>
        <w:jc w:val="left"/>
      </w:pPr>
      <w:r>
        <w:t xml:space="preserve">Wardle, C., &amp; Derakhshan, H. (2017).</w:t>
      </w:r>
      <w:r>
        <w:t xml:space="preserve"> </w:t>
      </w:r>
      <w:r>
        <w:rPr>
          <w:i/>
          <w:iCs/>
        </w:rPr>
        <w:t xml:space="preserve">Information disorder: Toward an interdisciplinary framework for research and policy making</w:t>
      </w:r>
      <w:r>
        <w:t xml:space="preserve"> </w:t>
      </w:r>
      <w:r>
        <w:t xml:space="preserve">(Report DGI(2017)09). Council of Europe.</w:t>
      </w:r>
    </w:p>
    <w:bookmarkEnd w:id="20"/>
    <w:sectPr>
      <w:pgMar w:top="1417" w:bottom="1417" w:left="1417" w:right="1417"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rPr>
      <w:rFonts w:ascii="Times New Roman" w:hAnsi="Times New Roman"/>
      <w:sz w:val="24"/>
    </w:rPr>
  </w:style>
  <w:style w:customStyle="1" w:styleId="FirstParagraph" w:type="paragraph">
    <w:name w:val="First Paragraph"/>
    <w:basedOn w:val="BodyText"/>
    <w:next w:val="BodyText"/>
    <w:qFormat/>
    <w:rPr>
      <w:rFonts w:ascii="Times New Roman" w:hAnsi="Times New Roman"/>
      <w:sz w:val="24"/>
    </w:rPr>
  </w:style>
  <w:style w:customStyle="1" w:styleId="Compact" w:type="paragraph">
    <w:name w:val="Compact"/>
    <w:basedOn w:val="BodyText"/>
    <w:qFormat/>
    <w:pPr>
      <w:spacing w:after="36" w:before="36"/>
    </w:pPr>
    <w:rPr>
      <w:rFonts w:ascii="Times New Roman" w:hAnsi="Times New Roman"/>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sz w:val="24"/>
      <w:szCs w:val="36"/>
    </w:rPr>
  </w:style>
  <w:style w:styleId="Subtitle" w:type="paragraph">
    <w:name w:val="Subtitle"/>
    <w:basedOn w:val="Title"/>
    <w:next w:val="BodyText"/>
    <w:qFormat/>
    <w:pPr>
      <w:keepNext/>
      <w:keepLines/>
      <w:spacing w:after="240" w:before="240"/>
      <w:jc w:val="center"/>
    </w:pPr>
    <w:rPr>
      <w:rFonts w:ascii="Times New Roman" w:hAnsi="Times New Roman"/>
      <w:sz w:val="24"/>
      <w:szCs w:val="30"/>
    </w:rPr>
  </w:style>
  <w:style w:customStyle="1" w:styleId="Author" w:type="paragraph">
    <w:name w:val="Author"/>
    <w:next w:val="BodyText"/>
    <w:qFormat/>
    <w:pPr>
      <w:keepNext/>
      <w:keepLines/>
      <w:jc w:val="center"/>
    </w:pPr>
    <w:rPr>
      <w:rFonts w:ascii="Times New Roman" w:hAnsi="Times New Roman"/>
      <w:sz w:val="24"/>
    </w:rPr>
  </w:style>
  <w:style w:styleId="Date" w:type="paragraph">
    <w:name w:val="Date"/>
    <w:next w:val="BodyText"/>
    <w:qFormat/>
    <w:pPr>
      <w:keepNext/>
      <w:keepLines/>
      <w:jc w:val="center"/>
    </w:pPr>
    <w:rPr>
      <w:rFonts w:ascii="Times New Roman" w:hAnsi="Times New Roman"/>
      <w:sz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b/>
      <w:sz w:val="24"/>
      <w:szCs w:val="20"/>
    </w:rPr>
  </w:style>
  <w:style w:customStyle="1" w:styleId="Abstract" w:type="paragraph">
    <w:name w:val="Abstract"/>
    <w:basedOn w:val="Normal"/>
    <w:next w:val="BodyText"/>
    <w:qFormat/>
    <w:pPr>
      <w:keepNext/>
      <w:keepLines/>
      <w:spacing w:after="300" w:before="100"/>
    </w:pPr>
    <w:rPr>
      <w:rFonts w:ascii="Times New Roman" w:hAnsi="Times New Roman"/>
      <w:sz w:val="24"/>
      <w:szCs w:val="20"/>
    </w:rPr>
  </w:style>
  <w:style w:styleId="Bibliography" w:type="paragraph">
    <w:name w:val="Bibliography"/>
    <w:basedOn w:val="Normal"/>
    <w:next w:val="Bibliography"/>
    <w:qFormat/>
    <w:pPr/>
    <w:rPr>
      <w:rFonts w:ascii="Times New Roman" w:hAnsi="Times New Roman"/>
      <w:sz w:val="24"/>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sz w:val="24"/>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bCs/>
      <w:i/>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sz w:val="24"/>
    </w:rPr>
  </w:style>
  <w:style w:styleId="FootnoteText" w:type="paragraph">
    <w:name w:val="Footnote Text"/>
    <w:basedOn w:val="Normal"/>
    <w:next w:val="FootnoteText"/>
    <w:uiPriority w:val="9"/>
    <w:unhideWhenUsed/>
    <w:qFormat/>
    <w:rPr>
      <w:rFonts w:ascii="Times New Roman" w:hAnsi="Times New Roman"/>
      <w:sz w:val="24"/>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sz w:val="24"/>
    </w:rPr>
  </w:style>
  <w:style w:customStyle="1" w:styleId="Definition" w:type="paragraph">
    <w:name w:val="Definition"/>
    <w:basedOn w:val="Normal"/>
    <w:rPr>
      <w:rFonts w:ascii="Times New Roman" w:hAnsi="Times New Roman"/>
      <w:sz w:val="24"/>
    </w:rPr>
  </w:style>
  <w:style w:styleId="Caption" w:type="paragraph">
    <w:name w:val="Caption"/>
    <w:basedOn w:val="Normal"/>
    <w:link w:val="BodyTextChar"/>
    <w:pPr>
      <w:spacing w:after="120" w:before="0"/>
    </w:pPr>
    <w:rPr>
      <w:rFonts w:ascii="Times New Roman" w:hAnsi="Times New Roman"/>
      <w:i/>
      <w:sz w:val="24"/>
    </w:rPr>
  </w:style>
  <w:style w:customStyle="1" w:styleId="TableCaption" w:type="paragraph">
    <w:name w:val="Table Caption"/>
    <w:basedOn w:val="Caption"/>
    <w:pPr>
      <w:keepNext/>
    </w:pPr>
    <w:rPr>
      <w:rFonts w:ascii="Times New Roman" w:hAnsi="Times New Roman"/>
      <w:sz w:val="24"/>
    </w:rPr>
  </w:style>
  <w:style w:customStyle="1" w:styleId="ImageCaption" w:type="paragraph">
    <w:name w:val="Image Caption"/>
    <w:basedOn w:val="Caption"/>
    <w:rPr>
      <w:rFonts w:ascii="Times New Roman" w:hAnsi="Times New Roman"/>
      <w:sz w:val="24"/>
    </w:rPr>
  </w:style>
  <w:style w:customStyle="1" w:styleId="Figure" w:type="paragraph">
    <w:name w:val="Figure"/>
    <w:basedOn w:val="Normal"/>
    <w:rPr>
      <w:rFonts w:ascii="Times New Roman" w:hAnsi="Times New Roman"/>
      <w:sz w:val="24"/>
    </w:rPr>
  </w:style>
  <w:style w:customStyle="1" w:styleId="CaptionedFigure" w:type="paragraph">
    <w:name w:val="Captioned Figure"/>
    <w:basedOn w:val="Figure"/>
    <w:pPr>
      <w:keepNext/>
    </w:pPr>
    <w:rPr>
      <w:rFonts w:ascii="Times New Roman" w:hAnsi="Times New Roman"/>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sz w:val="24"/>
    </w:rPr>
  </w:style>
  <w:style w:type="paragraph" w:customStyle="1" w:styleId="SourceCode">
    <w:name w:val="Source Code"/>
    <w:basedOn w:val="Normal"/>
    <w:link w:val="VerbatimChar"/>
    <w:pPr>
      <w:wordWrap w:val="off"/>
    </w:pPr>
    <w:rPr>
      <w:rFonts w:ascii="Times New Roman" w:hAnsi="Times New Roman"/>
      <w:sz w:val="2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2026-10-13T18:53:49Z</dcterms:created>
  <dcterms:modified xsi:type="dcterms:W3CDTF">2026-10-13T18:53:49Z</dcterms:modified>
  <cp:lastModifiedBy/>
</cp:coreProperties>
</file>

<file path=docProps/custom.xml><?xml version="1.0" encoding="utf-8"?>
<Properties xmlns="http://schemas.openxmlformats.org/officeDocument/2006/custom-properties" xmlns:vt="http://schemas.openxmlformats.org/officeDocument/2006/docPropsVTypes"/>
</file>