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e14d00a7bda549fd1dd850709cee3cfc826602"/>
    <w:p>
      <w:pPr>
        <w:pStyle w:val="Heading1"/>
        <w:jc w:val="center"/>
      </w:pPr>
      <w:r>
        <w:rPr>
          <w:b/>
          <w:sz w:val="28"/>
        </w:rPr>
        <w:t xml:space="preserve">Atratores narrativos: por que as histórias convergem quando agentes de modelos de linguagem compartilham um mundo de RPG</w:t>
      </w:r>
    </w:p>
    <w:p>
      <w:pPr>
        <w:pStyle w:val="FirstParagraph"/>
        <w:spacing w:line="360" w:lineRule="auto" w:after="120"/>
        <w:jc w:val="both"/>
      </w:pPr>
      <w:r>
        <w:rPr>
          <w:b/>
          <w:bCs/>
        </w:rPr>
        <w:t xml:space="preserve">Tema.</w:t>
      </w:r>
      <w:r>
        <w:t xml:space="preserve"> </w:t>
      </w:r>
      <w:r>
        <w:t xml:space="preserve">Convergência de histórias geradas por inteligência artificial em jogos de interpretação de papéis (RPG) de mundo compartilhado, e suas implicações para o letramento crítico em IA.</w:t>
      </w:r>
    </w:p>
    <w:p>
      <w:pPr>
        <w:pStyle w:val="BodyText"/>
        <w:spacing w:line="360" w:lineRule="auto" w:after="120"/>
        <w:jc w:val="both"/>
      </w:pPr>
      <w:r>
        <w:rPr>
          <w:b/>
          <w:bCs/>
        </w:rPr>
        <w:t xml:space="preserve">Problema.</w:t>
      </w:r>
      <w:r>
        <w:t xml:space="preserve"> </w:t>
      </w:r>
      <w:r>
        <w:t xml:space="preserve">Quando vários agentes de modelos de linguagem agem livremente num mesmo mundo ficcional, sem nenhuma estrutura narrativa imposta, a história se abre em várias tramas que começam e terminam, ou se fecha numa história única? E, se converge, o que determina o caminho dessa convergência?</w:t>
      </w:r>
    </w:p>
    <w:p>
      <w:pPr>
        <w:pStyle w:val="BodyText"/>
        <w:spacing w:line="360" w:lineRule="auto" w:after="120"/>
        <w:jc w:val="both"/>
      </w:pPr>
      <w:r>
        <w:rPr>
          <w:b/>
          <w:bCs/>
        </w:rPr>
        <w:t xml:space="preserve">Justificativa.</w:t>
      </w:r>
      <w:r>
        <w:t xml:space="preserve"> </w:t>
      </w:r>
      <w:r>
        <w:t xml:space="preserve">A IA generativa já entra na sala de aula como coautora de histórias e mestre de jogo. Estudos mostram que ela homogeneíza textos e enredos, mas olham para textos isolados, não para histórias que emergem dia a dia da ação de vários agentes. Entender essa dinâmica é condição para usar o RPG com IA de forma crítica na educação.</w:t>
      </w:r>
    </w:p>
    <w:p>
      <w:pPr>
        <w:pStyle w:val="BodyText"/>
        <w:spacing w:line="360" w:lineRule="auto" w:after="120"/>
        <w:jc w:val="both"/>
      </w:pPr>
      <w:r>
        <w:rPr>
          <w:b/>
          <w:bCs/>
        </w:rPr>
        <w:t xml:space="preserve">Objetivos.</w:t>
      </w:r>
      <w:r>
        <w:t xml:space="preserve"> </w:t>
      </w:r>
      <w:r>
        <w:rPr>
          <w:i/>
          <w:iCs/>
        </w:rPr>
        <w:t xml:space="preserve">Geral:</w:t>
      </w:r>
      <w:r>
        <w:t xml:space="preserve"> </w:t>
      </w:r>
      <w:r>
        <w:t xml:space="preserve">medir se e como as histórias de um mundo compartilhado convergem quando jogadas por agentes de modelos de linguagem.</w:t>
      </w:r>
      <w:r>
        <w:t xml:space="preserve"> </w:t>
      </w:r>
      <w:r>
        <w:rPr>
          <w:i/>
          <w:iCs/>
        </w:rPr>
        <w:t xml:space="preserve">Específicos:</w:t>
      </w:r>
      <w:r>
        <w:t xml:space="preserve"> </w:t>
      </w:r>
      <w:r>
        <w:t xml:space="preserve">(a) separar duas formas de uma trama sumir, o fechamento e a fusão com outra; (b) estimar quanto da convergência se deve à densidade de ligações causais; (c) identificar os eventos atratores que unem as tramas e o que eles têm em comum; (d) discutir implicações para o letramento em IA e mídia.</w:t>
      </w:r>
    </w:p>
    <w:p>
      <w:pPr>
        <w:pStyle w:val="BodyText"/>
        <w:spacing w:line="360" w:lineRule="auto" w:after="120"/>
        <w:jc w:val="both"/>
      </w:pPr>
      <w:r>
        <w:rPr>
          <w:b/>
          <w:bCs/>
        </w:rPr>
        <w:t xml:space="preserve">Metodologia.</w:t>
      </w:r>
      <w:r>
        <w:t xml:space="preserve"> </w:t>
      </w:r>
      <w:r>
        <w:t xml:space="preserve">Um simulador registra cada ação dos agentes como um evento, com as causas que o próprio agente declara, formando um grafo causal. As tramas são componentes conectados desse grafo, e a linhagem de cada uma (nascimento, fusão, fechamento) é acompanhada dia a dia, com métrica e definição de convergência pré-registradas. Foram analisadas 44 sessões (3.744 eventos, quatro modelos versionados, dois mundos, 12 ou 20 dias). As causas declaradas foram validadas por um juiz cego e por um teste de necessidade contrafactual. Os atratores foram testados contra um modelo nulo que sorteia as ligações mantendo sua quantidade.</w:t>
      </w:r>
    </w:p>
    <w:p>
      <w:pPr>
        <w:pStyle w:val="BodyText"/>
        <w:spacing w:line="360" w:lineRule="auto" w:after="120"/>
        <w:jc w:val="both"/>
      </w:pPr>
      <w:r>
        <w:rPr>
          <w:b/>
          <w:bCs/>
        </w:rPr>
        <w:t xml:space="preserve">Resultados esperados.</w:t>
      </w:r>
      <w:r>
        <w:t xml:space="preserve"> </w:t>
      </w:r>
      <w:r>
        <w:t xml:space="preserve">Nas sessões de validação, as tramas somem por fusão e quase nunca por fechamento: 64% são absorvidas e menos de 5% chegam a um fim estável. Quase todas nascem no segundo dia, e a maioria das sessões tem uma única história por volta do quinto dia. A convergência decorre principalmente da densidade, já que 99,7% dos eventos citam alguma causa. O caminho é moldado por atratores: as primeiras fusões unem personagens cujas premissas já se referiam umas às outras (75% contra 61% no modelo nulo), nos lugares que essas premissas nomeiam. Espera-se que a campanha confirmatória, com mais repetições e outros modelos, reproduza esse padrão.</w:t>
      </w:r>
    </w:p>
    <w:p>
      <w:pPr>
        <w:pStyle w:val="BodyText"/>
        <w:spacing w:line="360" w:lineRule="auto" w:after="120"/>
        <w:jc w:val="both"/>
      </w:pPr>
      <w:r>
        <w:rPr>
          <w:b/>
          <w:bCs/>
        </w:rPr>
        <w:t xml:space="preserve">Considerações.</w:t>
      </w:r>
      <w:r>
        <w:t xml:space="preserve"> </w:t>
      </w:r>
      <w:r>
        <w:t xml:space="preserve">O mundo</w:t>
      </w:r>
      <w:r>
        <w:t xml:space="preserve"> </w:t>
      </w:r>
      <w:r>
        <w:t xml:space="preserve">“</w:t>
      </w:r>
      <w:r>
        <w:t xml:space="preserve">livre</w:t>
      </w:r>
      <w:r>
        <w:t xml:space="preserve">”</w:t>
      </w:r>
      <w:r>
        <w:t xml:space="preserve"> </w:t>
      </w:r>
      <w:r>
        <w:t xml:space="preserve">é menos aberto do que parece. As forças que moldam a história estão nas premissas escritas por pessoas e podem ser tornadas visíveis e ensinadas. Há limitações: uma única família de modelos, uma codificação das premissas feita por uma só pessoa e nenhum participante humano ainda.</w:t>
      </w:r>
    </w:p>
    <w:p>
      <w:pPr>
        <w:pStyle w:val="BodyText"/>
        <w:spacing w:before="240"/>
      </w:pPr>
      <w:r>
        <w:rPr>
          <w:b/>
          <w:bCs/>
        </w:rPr>
        <w:t xml:space="preserve">Referências bibliográficas</w:t>
      </w:r>
    </w:p>
    <w:p>
      <w:pPr>
        <w:pStyle w:val="BodyText"/>
        <w:spacing w:line="240" w:lineRule="auto" w:after="120"/>
        <w:jc w:val="left"/>
      </w:pPr>
      <w:r>
        <w:t xml:space="preserve">DOSHI, A. R.; HAUSER, O. P. Generative AI enhances individual creativity but reduces the collective diversity of novel content.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, v. 10, n. 28, eadn5290, 2024.</w:t>
      </w:r>
    </w:p>
    <w:p>
      <w:pPr>
        <w:pStyle w:val="BodyText"/>
        <w:spacing w:line="240" w:lineRule="auto" w:after="120"/>
        <w:jc w:val="left"/>
      </w:pPr>
      <w:r>
        <w:t xml:space="preserve">LONG, D.; MAGERKO, B. What is AI literacy? Competencies and design considerations. In: CHI CONFERENCE ON HUMAN FACTORS IN COMPUTING SYSTEMS, 2020, Honolulu.</w:t>
      </w:r>
      <w:r>
        <w:t xml:space="preserve"> </w:t>
      </w:r>
      <w:r>
        <w:rPr>
          <w:i/>
          <w:iCs/>
        </w:rPr>
        <w:t xml:space="preserve">Proceedings</w:t>
      </w:r>
      <w:r>
        <w:t xml:space="preserve"> </w:t>
      </w:r>
      <w:r>
        <w:t xml:space="preserve">[…]. New York: ACM, 2020.</w:t>
      </w:r>
    </w:p>
    <w:p>
      <w:pPr>
        <w:pStyle w:val="BodyText"/>
        <w:spacing w:line="240" w:lineRule="auto" w:after="120"/>
        <w:jc w:val="left"/>
      </w:pPr>
      <w:r>
        <w:t xml:space="preserve">PARK, J.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Generative agents: interactive simulacra of human behavior. In: ACM SYMPOSIUM ON USER INTERFACE SOFTWARE AND TECHNOLOGY, 36., 2023, San Francisco.</w:t>
      </w:r>
      <w:r>
        <w:t xml:space="preserve"> </w:t>
      </w:r>
      <w:r>
        <w:rPr>
          <w:i/>
          <w:iCs/>
        </w:rPr>
        <w:t xml:space="preserve">Proceedings</w:t>
      </w:r>
      <w:r>
        <w:t xml:space="preserve"> </w:t>
      </w:r>
      <w:r>
        <w:t xml:space="preserve">[…]. New York: ACM, 2023. p. 1-22.</w:t>
      </w:r>
    </w:p>
    <w:p>
      <w:pPr>
        <w:pStyle w:val="BodyText"/>
        <w:spacing w:line="240" w:lineRule="auto" w:after="120"/>
        <w:jc w:val="left"/>
      </w:pPr>
      <w:r>
        <w:t xml:space="preserve">STROGATZ, S. H.</w:t>
      </w:r>
      <w:r>
        <w:t xml:space="preserve"> </w:t>
      </w:r>
      <w:r>
        <w:rPr>
          <w:i/>
          <w:iCs/>
        </w:rPr>
        <w:t xml:space="preserve">Nonlinear dynamics and chaos</w:t>
      </w:r>
      <w:r>
        <w:t xml:space="preserve">. 2. ed. Boulder: Westview Press, 2015.</w:t>
      </w:r>
    </w:p>
    <w:p>
      <w:pPr>
        <w:pStyle w:val="BodyText"/>
        <w:spacing w:line="240" w:lineRule="auto" w:after="120"/>
        <w:jc w:val="left"/>
      </w:pPr>
      <w:r>
        <w:t xml:space="preserve">TRABASSO, T.; VAN DEN BROEK, P. Causal thinking and the representation of narrative events.</w:t>
      </w:r>
      <w:r>
        <w:t xml:space="preserve"> </w:t>
      </w:r>
      <w:r>
        <w:rPr>
          <w:i/>
          <w:iCs/>
        </w:rPr>
        <w:t xml:space="preserve">Journal of Memory and Language</w:t>
      </w:r>
      <w:r>
        <w:t xml:space="preserve">, v. 24, n. 5, p. 612-630, 1985.</w:t>
      </w:r>
    </w:p>
    <w:p>
      <w:pPr>
        <w:pStyle w:val="BodyText"/>
        <w:spacing w:line="240" w:lineRule="auto" w:after="120"/>
        <w:jc w:val="left"/>
      </w:pPr>
      <w:r>
        <w:t xml:space="preserve">XU, W.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Echoes in AI: quantifying lack of plot diversity in LLM outputs.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 v. 122, n. 35, e2504966122, 2025.</w:t>
      </w:r>
    </w:p>
    <w:bookmarkEnd w:id="20"/>
    <w:sectPr>
      <w:pgMar w:top="1417" w:bottom="1417" w:left="1417" w:right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bCs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  <w:sz w:val="2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2026-10-13T18:53:49Z</dcterms:created>
  <dcterms:modified xsi:type="dcterms:W3CDTF">2026-10-13T18:53:49Z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